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1B8" w:rsidRPr="00C208B8" w:rsidRDefault="00A961B8" w:rsidP="00A961B8">
      <w:pPr>
        <w:jc w:val="center"/>
      </w:pPr>
      <w:bookmarkStart w:id="0" w:name="_GoBack"/>
      <w:bookmarkEnd w:id="0"/>
      <w:r>
        <w:rPr>
          <w:noProof/>
        </w:rPr>
        <w:drawing>
          <wp:inline distT="0" distB="0" distL="0" distR="0" wp14:anchorId="360012EB" wp14:editId="3BE280E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2E5B10" w:rsidRPr="00C208B8">
        <w:fldChar w:fldCharType="begin"/>
      </w:r>
      <w:r w:rsidRPr="00C208B8">
        <w:instrText xml:space="preserve"> INCLUDEPICTURE "http://www.inet.hr/~box/images/grb-rh.gif" \* MERGEFORMATINET </w:instrText>
      </w:r>
      <w:r w:rsidR="002E5B10" w:rsidRPr="00C208B8">
        <w:fldChar w:fldCharType="end"/>
      </w:r>
    </w:p>
    <w:p w:rsidR="00A961B8" w:rsidRPr="0023763F" w:rsidRDefault="00A961B8" w:rsidP="00A961B8">
      <w:pPr>
        <w:spacing w:before="60" w:after="1680"/>
        <w:jc w:val="center"/>
        <w:rPr>
          <w:sz w:val="28"/>
        </w:rPr>
      </w:pPr>
      <w:r w:rsidRPr="0023763F">
        <w:rPr>
          <w:sz w:val="28"/>
        </w:rPr>
        <w:t>VLADA REPUBLIKE HRVATSKE</w:t>
      </w:r>
    </w:p>
    <w:p w:rsidR="00A961B8" w:rsidRDefault="00A961B8" w:rsidP="00A961B8"/>
    <w:p w:rsidR="00A961B8" w:rsidRPr="003A2F05" w:rsidRDefault="00A961B8" w:rsidP="00A961B8">
      <w:pPr>
        <w:spacing w:after="2400"/>
        <w:jc w:val="right"/>
      </w:pPr>
      <w:r w:rsidRPr="00FB75F5">
        <w:t xml:space="preserve">Zagreb, </w:t>
      </w:r>
      <w:r w:rsidR="00FC371D">
        <w:t>4</w:t>
      </w:r>
      <w:r w:rsidR="00C541A4" w:rsidRPr="00FB75F5">
        <w:t xml:space="preserve">. </w:t>
      </w:r>
      <w:r w:rsidR="00FC371D">
        <w:t>srpanj</w:t>
      </w:r>
      <w:r w:rsidR="005B48F3" w:rsidRPr="00FB75F5">
        <w:t xml:space="preserve"> 2022</w:t>
      </w:r>
      <w:r w:rsidRPr="003A2F05">
        <w:t>.</w:t>
      </w:r>
    </w:p>
    <w:p w:rsidR="00A961B8" w:rsidRPr="002179F8" w:rsidRDefault="00A961B8" w:rsidP="00A961B8">
      <w:pPr>
        <w:spacing w:line="360" w:lineRule="auto"/>
      </w:pPr>
      <w:r w:rsidRPr="002179F8">
        <w:t>__________________________________________________________________________</w:t>
      </w:r>
    </w:p>
    <w:p w:rsidR="00A961B8" w:rsidRDefault="00A961B8" w:rsidP="00A961B8">
      <w:pPr>
        <w:tabs>
          <w:tab w:val="right" w:pos="1701"/>
          <w:tab w:val="left" w:pos="1843"/>
        </w:tabs>
        <w:spacing w:line="360" w:lineRule="auto"/>
        <w:ind w:left="1843" w:hanging="1843"/>
        <w:rPr>
          <w:b/>
          <w:smallCaps/>
        </w:rPr>
        <w:sectPr w:rsidR="00A961B8"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8" w:rsidTr="006977AD">
        <w:tc>
          <w:tcPr>
            <w:tcW w:w="1951" w:type="dxa"/>
          </w:tcPr>
          <w:p w:rsidR="00A961B8" w:rsidRDefault="00A961B8" w:rsidP="006977AD">
            <w:pPr>
              <w:spacing w:line="360" w:lineRule="auto"/>
              <w:jc w:val="right"/>
            </w:pPr>
            <w:r w:rsidRPr="003A2F05">
              <w:rPr>
                <w:b/>
                <w:smallCaps/>
              </w:rPr>
              <w:t>Predlagatelj</w:t>
            </w:r>
            <w:r w:rsidRPr="002179F8">
              <w:rPr>
                <w:b/>
              </w:rPr>
              <w:t>:</w:t>
            </w:r>
          </w:p>
        </w:tc>
        <w:tc>
          <w:tcPr>
            <w:tcW w:w="7229" w:type="dxa"/>
          </w:tcPr>
          <w:p w:rsidR="00A961B8" w:rsidRDefault="00A961B8" w:rsidP="006977AD">
            <w:pPr>
              <w:spacing w:line="360" w:lineRule="auto"/>
            </w:pPr>
            <w:r>
              <w:t>Ministarstvo gospodarstva i održivog razvoja</w:t>
            </w:r>
          </w:p>
        </w:tc>
      </w:tr>
    </w:tbl>
    <w:p w:rsidR="00A961B8" w:rsidRPr="002179F8" w:rsidRDefault="00A961B8" w:rsidP="00A961B8">
      <w:pPr>
        <w:spacing w:line="360" w:lineRule="auto"/>
      </w:pPr>
      <w:r w:rsidRPr="002179F8">
        <w:t>__________________________________________________________________________</w:t>
      </w:r>
    </w:p>
    <w:p w:rsidR="00A961B8" w:rsidRDefault="00A961B8" w:rsidP="00A961B8">
      <w:pPr>
        <w:tabs>
          <w:tab w:val="right" w:pos="1701"/>
          <w:tab w:val="left" w:pos="1843"/>
        </w:tabs>
        <w:spacing w:line="360" w:lineRule="auto"/>
        <w:ind w:left="1843" w:hanging="1843"/>
        <w:rPr>
          <w:b/>
          <w:smallCaps/>
        </w:rPr>
        <w:sectPr w:rsidR="00A961B8"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961B8" w:rsidTr="006977AD">
        <w:tc>
          <w:tcPr>
            <w:tcW w:w="1951" w:type="dxa"/>
          </w:tcPr>
          <w:p w:rsidR="00A961B8" w:rsidRDefault="00A961B8" w:rsidP="006977AD">
            <w:pPr>
              <w:spacing w:line="360" w:lineRule="auto"/>
              <w:jc w:val="right"/>
            </w:pPr>
            <w:r>
              <w:rPr>
                <w:b/>
                <w:smallCaps/>
              </w:rPr>
              <w:t>Predmet</w:t>
            </w:r>
            <w:r w:rsidRPr="002179F8">
              <w:rPr>
                <w:b/>
              </w:rPr>
              <w:t>:</w:t>
            </w:r>
          </w:p>
        </w:tc>
        <w:tc>
          <w:tcPr>
            <w:tcW w:w="7229" w:type="dxa"/>
          </w:tcPr>
          <w:p w:rsidR="00A961B8" w:rsidRDefault="00C541A4" w:rsidP="006977AD">
            <w:pPr>
              <w:jc w:val="both"/>
            </w:pPr>
            <w:r>
              <w:t>Prijedlog uredbe</w:t>
            </w:r>
            <w:r w:rsidR="00A961B8">
              <w:t xml:space="preserve"> </w:t>
            </w:r>
            <w:r w:rsidR="00EF7874">
              <w:t xml:space="preserve">o utvrđivanju najviših maloprodajnih </w:t>
            </w:r>
            <w:r w:rsidR="00FD501E">
              <w:t xml:space="preserve">i veleprodajnih </w:t>
            </w:r>
            <w:r w:rsidR="00EF7874">
              <w:t>cijena naftnih derivata</w:t>
            </w:r>
          </w:p>
          <w:p w:rsidR="00A961B8" w:rsidRDefault="00A961B8" w:rsidP="006977AD">
            <w:pPr>
              <w:spacing w:line="360" w:lineRule="auto"/>
              <w:jc w:val="both"/>
            </w:pPr>
          </w:p>
        </w:tc>
      </w:tr>
    </w:tbl>
    <w:p w:rsidR="00A961B8" w:rsidRPr="002179F8" w:rsidRDefault="00A961B8" w:rsidP="00A961B8">
      <w:pPr>
        <w:tabs>
          <w:tab w:val="left" w:pos="1843"/>
        </w:tabs>
        <w:spacing w:line="360" w:lineRule="auto"/>
        <w:ind w:left="1843" w:hanging="1843"/>
      </w:pPr>
      <w:r w:rsidRPr="002179F8">
        <w:t>__________________________________________________________________________</w:t>
      </w:r>
    </w:p>
    <w:p w:rsidR="00A961B8"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Default="00A961B8" w:rsidP="00A961B8"/>
    <w:p w:rsidR="00A961B8" w:rsidRDefault="00A961B8" w:rsidP="00A961B8"/>
    <w:p w:rsidR="00A961B8" w:rsidRPr="00CE78D1" w:rsidRDefault="00A961B8" w:rsidP="00A961B8"/>
    <w:p w:rsidR="000C467A" w:rsidRPr="00777691" w:rsidRDefault="000C467A" w:rsidP="00A961B8">
      <w:pPr>
        <w:tabs>
          <w:tab w:val="left" w:pos="0"/>
          <w:tab w:val="left" w:pos="142"/>
          <w:tab w:val="right" w:pos="1701"/>
          <w:tab w:val="left" w:pos="1843"/>
        </w:tabs>
        <w:spacing w:line="360" w:lineRule="auto"/>
        <w:rPr>
          <w:b/>
          <w:smallCaps/>
        </w:rPr>
        <w:sectPr w:rsidR="000C467A" w:rsidRPr="00777691" w:rsidSect="000C467A">
          <w:footerReference w:type="default" r:id="rId10"/>
          <w:footerReference w:type="first" r:id="rId11"/>
          <w:type w:val="continuous"/>
          <w:pgSz w:w="11906" w:h="16838"/>
          <w:pgMar w:top="993" w:right="1417" w:bottom="1417" w:left="1417" w:header="709" w:footer="658" w:gutter="0"/>
          <w:cols w:space="708"/>
          <w:docGrid w:linePitch="360"/>
        </w:sectPr>
      </w:pPr>
    </w:p>
    <w:p w:rsidR="007929A2" w:rsidRPr="00777691" w:rsidRDefault="002E5B10" w:rsidP="007929A2">
      <w:pPr>
        <w:jc w:val="center"/>
      </w:pPr>
      <w:r w:rsidRPr="00777691">
        <w:lastRenderedPageBreak/>
        <w:fldChar w:fldCharType="begin"/>
      </w:r>
      <w:r w:rsidR="007929A2" w:rsidRPr="00777691">
        <w:instrText xml:space="preserve"> INCLUDEPICTURE "http://www.inet.hr/~box/images/grb-rh.gif" \* MERGEFORMATINET </w:instrText>
      </w:r>
      <w:r w:rsidRPr="00777691">
        <w:fldChar w:fldCharType="end"/>
      </w:r>
    </w:p>
    <w:p w:rsidR="006F2C75" w:rsidRPr="006F2C75" w:rsidRDefault="006F2C75" w:rsidP="006F2C75">
      <w:pPr>
        <w:pBdr>
          <w:bottom w:val="single" w:sz="12" w:space="1" w:color="auto"/>
        </w:pBdr>
        <w:jc w:val="center"/>
        <w:rPr>
          <w:rFonts w:eastAsia="Calibri"/>
          <w:b/>
          <w:lang w:eastAsia="en-US"/>
        </w:rPr>
      </w:pPr>
      <w:r w:rsidRPr="006F2C75">
        <w:rPr>
          <w:rFonts w:eastAsia="Calibri"/>
          <w:b/>
          <w:lang w:eastAsia="en-US"/>
        </w:rPr>
        <w:t>MINISTARSTVO GOSPODARSTVA I ODRŽIVOG RAZVOJA</w:t>
      </w:r>
    </w:p>
    <w:p w:rsidR="006F2C75" w:rsidRPr="006F2C75" w:rsidRDefault="006F2C75" w:rsidP="006F2C75">
      <w:pPr>
        <w:jc w:val="right"/>
        <w:rPr>
          <w:rFonts w:eastAsia="Calibri"/>
          <w:b/>
          <w:lang w:eastAsia="en-US"/>
        </w:rPr>
      </w:pP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t>PRIJEDLOG</w:t>
      </w:r>
    </w:p>
    <w:p w:rsidR="006F2C75" w:rsidRPr="006F2C75" w:rsidRDefault="006F2C75" w:rsidP="006F2C75">
      <w:pPr>
        <w:spacing w:before="100" w:beforeAutospacing="1" w:after="100" w:afterAutospacing="1"/>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6F2C75" w:rsidRPr="006F2C75" w:rsidRDefault="006F2C75" w:rsidP="006F2C75">
      <w:pPr>
        <w:rPr>
          <w:b/>
        </w:rPr>
      </w:pPr>
    </w:p>
    <w:p w:rsidR="00EF7874" w:rsidRPr="00EF7874" w:rsidRDefault="00EF7874" w:rsidP="00EF7874">
      <w:pPr>
        <w:shd w:val="clear" w:color="auto" w:fill="FFFFFF"/>
        <w:spacing w:before="153"/>
        <w:jc w:val="center"/>
        <w:textAlignment w:val="baseline"/>
        <w:rPr>
          <w:b/>
          <w:bCs/>
          <w:color w:val="231F20"/>
          <w:sz w:val="28"/>
          <w:szCs w:val="28"/>
        </w:rPr>
      </w:pPr>
      <w:r w:rsidRPr="00EF7874">
        <w:rPr>
          <w:b/>
          <w:bCs/>
          <w:color w:val="231F20"/>
          <w:sz w:val="28"/>
          <w:szCs w:val="28"/>
        </w:rPr>
        <w:t>UREDBA</w:t>
      </w:r>
    </w:p>
    <w:p w:rsidR="00EF7874" w:rsidRPr="00EF7874" w:rsidRDefault="00EF7874" w:rsidP="00EF7874">
      <w:pPr>
        <w:shd w:val="clear" w:color="auto" w:fill="FFFFFF"/>
        <w:spacing w:before="68" w:after="72"/>
        <w:jc w:val="center"/>
        <w:textAlignment w:val="baseline"/>
        <w:rPr>
          <w:b/>
          <w:bCs/>
          <w:color w:val="231F20"/>
          <w:sz w:val="28"/>
          <w:szCs w:val="28"/>
        </w:rPr>
      </w:pPr>
      <w:r w:rsidRPr="00EF7874">
        <w:rPr>
          <w:b/>
          <w:bCs/>
          <w:color w:val="231F20"/>
          <w:sz w:val="28"/>
          <w:szCs w:val="28"/>
        </w:rPr>
        <w:t xml:space="preserve">O </w:t>
      </w:r>
      <w:r w:rsidRPr="00EF7874">
        <w:rPr>
          <w:rFonts w:ascii="Minion Pro" w:hAnsi="Minion Pro"/>
          <w:b/>
          <w:bCs/>
          <w:color w:val="000000"/>
          <w:sz w:val="28"/>
          <w:szCs w:val="28"/>
          <w:shd w:val="clear" w:color="auto" w:fill="FFFFFF"/>
        </w:rPr>
        <w:t xml:space="preserve">UTVRĐIVANJU NAJVIŠIH MALOPRODAJNIH </w:t>
      </w:r>
      <w:r w:rsidR="00FD501E">
        <w:rPr>
          <w:rFonts w:ascii="Minion Pro" w:hAnsi="Minion Pro"/>
          <w:b/>
          <w:bCs/>
          <w:color w:val="000000"/>
          <w:sz w:val="28"/>
          <w:szCs w:val="28"/>
          <w:shd w:val="clear" w:color="auto" w:fill="FFFFFF"/>
        </w:rPr>
        <w:t xml:space="preserve">I VELEPRODAJNIH </w:t>
      </w:r>
      <w:r w:rsidRPr="00EF7874">
        <w:rPr>
          <w:rFonts w:ascii="Minion Pro" w:hAnsi="Minion Pro"/>
          <w:b/>
          <w:bCs/>
          <w:color w:val="000000"/>
          <w:sz w:val="28"/>
          <w:szCs w:val="28"/>
          <w:shd w:val="clear" w:color="auto" w:fill="FFFFFF"/>
        </w:rPr>
        <w:t>CIJENA NAFTNIH DERIVATA</w:t>
      </w:r>
    </w:p>
    <w:p w:rsidR="006F2C75" w:rsidRPr="00EF7874" w:rsidRDefault="006F2C75" w:rsidP="006F2C75">
      <w:pPr>
        <w:spacing w:before="100" w:beforeAutospacing="1" w:after="100" w:afterAutospacing="1"/>
        <w:jc w:val="center"/>
        <w:outlineLvl w:val="0"/>
        <w:rPr>
          <w:bCs/>
          <w:kern w:val="36"/>
          <w:sz w:val="28"/>
          <w:szCs w:val="28"/>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jc w:val="cente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rPr>
          <w:b/>
        </w:rPr>
      </w:pPr>
    </w:p>
    <w:p w:rsidR="006F2C75" w:rsidRPr="006F2C75" w:rsidRDefault="006F2C75" w:rsidP="006F2C75">
      <w:pPr>
        <w:pBdr>
          <w:bottom w:val="single" w:sz="12" w:space="1" w:color="auto"/>
        </w:pBdr>
        <w:jc w:val="center"/>
        <w:rPr>
          <w:b/>
        </w:rPr>
      </w:pPr>
    </w:p>
    <w:p w:rsidR="006F2C75" w:rsidRPr="006F2C75" w:rsidRDefault="006F2C75" w:rsidP="006F2C75">
      <w:pPr>
        <w:jc w:val="center"/>
        <w:rPr>
          <w:rFonts w:eastAsia="Calibri"/>
          <w:lang w:eastAsia="en-US"/>
        </w:rPr>
      </w:pPr>
      <w:r w:rsidRPr="006F2C75">
        <w:rPr>
          <w:rFonts w:eastAsia="Calibri"/>
          <w:b/>
        </w:rPr>
        <w:t xml:space="preserve">Zagreb, </w:t>
      </w:r>
      <w:r w:rsidR="00FC371D">
        <w:rPr>
          <w:rFonts w:eastAsia="Calibri"/>
          <w:b/>
        </w:rPr>
        <w:t>srpanj</w:t>
      </w:r>
      <w:r w:rsidR="00EF7874">
        <w:rPr>
          <w:rFonts w:eastAsia="Calibri"/>
          <w:b/>
        </w:rPr>
        <w:t xml:space="preserve"> </w:t>
      </w:r>
      <w:r w:rsidRPr="006F2C75">
        <w:rPr>
          <w:rFonts w:eastAsia="Calibri"/>
          <w:b/>
        </w:rPr>
        <w:t>202</w:t>
      </w:r>
      <w:r w:rsidR="005B48F3">
        <w:rPr>
          <w:rFonts w:eastAsia="Calibri"/>
          <w:b/>
        </w:rPr>
        <w:t>2</w:t>
      </w:r>
      <w:r w:rsidRPr="006F2C75">
        <w:rPr>
          <w:rFonts w:eastAsia="Calibri"/>
          <w:b/>
        </w:rPr>
        <w:t>.</w:t>
      </w:r>
    </w:p>
    <w:p w:rsidR="00EF7874" w:rsidRPr="00D733C8" w:rsidRDefault="00EF7874" w:rsidP="00EF7874">
      <w:pPr>
        <w:shd w:val="clear" w:color="auto" w:fill="FFFFFF"/>
        <w:spacing w:after="48"/>
        <w:jc w:val="right"/>
        <w:textAlignment w:val="baseline"/>
        <w:rPr>
          <w:b/>
          <w:bCs/>
          <w:color w:val="231F20"/>
          <w:sz w:val="29"/>
          <w:szCs w:val="29"/>
        </w:rPr>
      </w:pPr>
    </w:p>
    <w:p w:rsidR="00EF7874" w:rsidRPr="00D733C8" w:rsidRDefault="00EF7874" w:rsidP="00EF7874">
      <w:pPr>
        <w:shd w:val="clear" w:color="auto" w:fill="FFFFFF"/>
        <w:spacing w:after="48"/>
        <w:ind w:firstLine="408"/>
        <w:jc w:val="both"/>
        <w:textAlignment w:val="baseline"/>
        <w:rPr>
          <w:color w:val="231F20"/>
        </w:rPr>
      </w:pPr>
      <w:r w:rsidRPr="00D733C8">
        <w:rPr>
          <w:color w:val="231F20"/>
        </w:rPr>
        <w:t xml:space="preserve">Na temelju </w:t>
      </w:r>
      <w:r w:rsidR="002217B1">
        <w:rPr>
          <w:color w:val="231F20"/>
        </w:rPr>
        <w:t>članaka 1. i 3</w:t>
      </w:r>
      <w:r w:rsidR="003315CA">
        <w:rPr>
          <w:color w:val="231F20"/>
        </w:rPr>
        <w:t>0.</w:t>
      </w:r>
      <w:r w:rsidR="002217B1">
        <w:rPr>
          <w:color w:val="231F20"/>
        </w:rPr>
        <w:t>Zakona o Vladi Republike Hrvatske (</w:t>
      </w:r>
      <w:r w:rsidR="002217B1" w:rsidRPr="00D733C8">
        <w:rPr>
          <w:color w:val="231F20"/>
        </w:rPr>
        <w:t>»Narodne novine«, br.</w:t>
      </w:r>
      <w:r w:rsidR="002217B1" w:rsidRPr="00FD501E">
        <w:t xml:space="preserve"> </w:t>
      </w:r>
      <w:hyperlink r:id="rId12" w:tgtFrame="_blank" w:history="1">
        <w:r w:rsidR="002217B1" w:rsidRPr="00FD501E">
          <w:rPr>
            <w:color w:val="231F20"/>
          </w:rPr>
          <w:t>150/11</w:t>
        </w:r>
      </w:hyperlink>
      <w:r w:rsidR="002217B1" w:rsidRPr="00FD501E">
        <w:rPr>
          <w:color w:val="231F20"/>
        </w:rPr>
        <w:t>, </w:t>
      </w:r>
      <w:hyperlink r:id="rId13" w:tgtFrame="_blank" w:history="1">
        <w:r w:rsidR="002217B1" w:rsidRPr="00FD501E">
          <w:rPr>
            <w:color w:val="231F20"/>
          </w:rPr>
          <w:t>119/14</w:t>
        </w:r>
      </w:hyperlink>
      <w:r w:rsidR="002217B1" w:rsidRPr="00FD501E">
        <w:rPr>
          <w:color w:val="231F20"/>
        </w:rPr>
        <w:t>, </w:t>
      </w:r>
      <w:hyperlink r:id="rId14" w:history="1">
        <w:r w:rsidR="002217B1" w:rsidRPr="00FD501E">
          <w:rPr>
            <w:color w:val="231F20"/>
          </w:rPr>
          <w:t>93/16</w:t>
        </w:r>
      </w:hyperlink>
      <w:r w:rsidR="002217B1">
        <w:rPr>
          <w:color w:val="231F20"/>
        </w:rPr>
        <w:t xml:space="preserve"> i</w:t>
      </w:r>
      <w:r w:rsidR="002217B1" w:rsidRPr="00FD501E">
        <w:rPr>
          <w:color w:val="231F20"/>
        </w:rPr>
        <w:t> </w:t>
      </w:r>
      <w:hyperlink r:id="rId15" w:history="1">
        <w:r w:rsidR="002217B1" w:rsidRPr="00FD501E">
          <w:rPr>
            <w:color w:val="231F20"/>
          </w:rPr>
          <w:t>116/18</w:t>
        </w:r>
      </w:hyperlink>
      <w:r w:rsidR="002217B1">
        <w:rPr>
          <w:color w:val="231F20"/>
        </w:rPr>
        <w:t xml:space="preserve">), </w:t>
      </w:r>
      <w:r w:rsidRPr="00D733C8">
        <w:rPr>
          <w:color w:val="231F20"/>
        </w:rPr>
        <w:t xml:space="preserve">članka </w:t>
      </w:r>
      <w:r>
        <w:rPr>
          <w:color w:val="231F20"/>
        </w:rPr>
        <w:t>9. stavka 2</w:t>
      </w:r>
      <w:r w:rsidRPr="00D733C8">
        <w:rPr>
          <w:color w:val="231F20"/>
        </w:rPr>
        <w:t xml:space="preserve">. Zakona o </w:t>
      </w:r>
      <w:r>
        <w:rPr>
          <w:color w:val="231F20"/>
        </w:rPr>
        <w:t>tržištu nafte i naftnih derivata</w:t>
      </w:r>
      <w:r w:rsidRPr="00D733C8">
        <w:rPr>
          <w:color w:val="231F20"/>
        </w:rPr>
        <w:t xml:space="preserve"> (»Narodne novine«, br. </w:t>
      </w:r>
      <w:r>
        <w:rPr>
          <w:color w:val="231F20"/>
        </w:rPr>
        <w:t>19</w:t>
      </w:r>
      <w:r w:rsidRPr="00D733C8">
        <w:rPr>
          <w:color w:val="231F20"/>
        </w:rPr>
        <w:t>/1</w:t>
      </w:r>
      <w:r>
        <w:rPr>
          <w:color w:val="231F20"/>
        </w:rPr>
        <w:t>4, 73/17 i 96</w:t>
      </w:r>
      <w:r w:rsidRPr="00D733C8">
        <w:rPr>
          <w:color w:val="231F20"/>
        </w:rPr>
        <w:t>/19)</w:t>
      </w:r>
      <w:r w:rsidR="00E9758E">
        <w:rPr>
          <w:color w:val="231F20"/>
        </w:rPr>
        <w:t xml:space="preserve"> i članaka </w:t>
      </w:r>
      <w:r w:rsidR="0041297C">
        <w:rPr>
          <w:color w:val="231F20"/>
        </w:rPr>
        <w:t xml:space="preserve">6. </w:t>
      </w:r>
      <w:r w:rsidR="00E9758E">
        <w:rPr>
          <w:color w:val="231F20"/>
        </w:rPr>
        <w:t>Zakona o iznimnim mjerama kontrole cijena (</w:t>
      </w:r>
      <w:r w:rsidR="00E9758E" w:rsidRPr="00D733C8">
        <w:rPr>
          <w:color w:val="231F20"/>
        </w:rPr>
        <w:t>»Narodne novine«</w:t>
      </w:r>
      <w:r w:rsidR="00E9758E">
        <w:rPr>
          <w:color w:val="231F20"/>
        </w:rPr>
        <w:t xml:space="preserve">, br. </w:t>
      </w:r>
      <w:hyperlink r:id="rId16" w:history="1">
        <w:r w:rsidR="00E9758E" w:rsidRPr="00E9758E">
          <w:rPr>
            <w:color w:val="231F20"/>
          </w:rPr>
          <w:t>73/97</w:t>
        </w:r>
      </w:hyperlink>
      <w:r w:rsidR="00E9758E" w:rsidRPr="00E9758E">
        <w:rPr>
          <w:color w:val="231F20"/>
        </w:rPr>
        <w:t>, 128/99</w:t>
      </w:r>
      <w:r w:rsidR="002217B1">
        <w:rPr>
          <w:color w:val="231F20"/>
        </w:rPr>
        <w:t xml:space="preserve"> i </w:t>
      </w:r>
      <w:hyperlink r:id="rId17" w:history="1">
        <w:r w:rsidR="00E9758E" w:rsidRPr="00E9758E">
          <w:rPr>
            <w:color w:val="231F20"/>
          </w:rPr>
          <w:t>66/01</w:t>
        </w:r>
      </w:hyperlink>
      <w:r w:rsidR="00E9758E">
        <w:t>)</w:t>
      </w:r>
      <w:r w:rsidRPr="00D733C8">
        <w:rPr>
          <w:color w:val="231F20"/>
        </w:rPr>
        <w:t xml:space="preserve">, Vlada Republike Hrvatske je na sjednici održanoj </w:t>
      </w:r>
      <w:r>
        <w:rPr>
          <w:color w:val="231F20"/>
        </w:rPr>
        <w:t>_________</w:t>
      </w:r>
      <w:r w:rsidRPr="00D733C8">
        <w:rPr>
          <w:color w:val="231F20"/>
        </w:rPr>
        <w:t xml:space="preserve"> godine donijela</w:t>
      </w:r>
    </w:p>
    <w:p w:rsidR="00EF7874" w:rsidRPr="00D733C8" w:rsidRDefault="00EF7874" w:rsidP="00EF7874">
      <w:pPr>
        <w:shd w:val="clear" w:color="auto" w:fill="FFFFFF"/>
        <w:spacing w:before="153"/>
        <w:jc w:val="center"/>
        <w:textAlignment w:val="baseline"/>
        <w:rPr>
          <w:b/>
          <w:bCs/>
          <w:color w:val="231F20"/>
          <w:sz w:val="38"/>
          <w:szCs w:val="38"/>
        </w:rPr>
      </w:pPr>
      <w:r w:rsidRPr="00D733C8">
        <w:rPr>
          <w:b/>
          <w:bCs/>
          <w:color w:val="231F20"/>
          <w:sz w:val="38"/>
          <w:szCs w:val="38"/>
        </w:rPr>
        <w:t>UREDBU</w:t>
      </w:r>
    </w:p>
    <w:p w:rsidR="00EF7874" w:rsidRPr="00F96E8F" w:rsidRDefault="00EF7874" w:rsidP="00EF7874">
      <w:pPr>
        <w:shd w:val="clear" w:color="auto" w:fill="FFFFFF"/>
        <w:spacing w:before="68" w:after="72"/>
        <w:jc w:val="center"/>
        <w:textAlignment w:val="baseline"/>
        <w:rPr>
          <w:b/>
          <w:bCs/>
          <w:color w:val="231F20"/>
          <w:sz w:val="29"/>
          <w:szCs w:val="29"/>
        </w:rPr>
      </w:pPr>
      <w:r w:rsidRPr="00F96E8F">
        <w:rPr>
          <w:b/>
          <w:bCs/>
          <w:color w:val="231F20"/>
          <w:sz w:val="29"/>
          <w:szCs w:val="29"/>
        </w:rPr>
        <w:t xml:space="preserve">O </w:t>
      </w:r>
      <w:r w:rsidRPr="00F96E8F">
        <w:rPr>
          <w:b/>
          <w:bCs/>
          <w:color w:val="000000"/>
          <w:sz w:val="28"/>
          <w:szCs w:val="28"/>
          <w:shd w:val="clear" w:color="auto" w:fill="FFFFFF"/>
        </w:rPr>
        <w:t xml:space="preserve">UTVRĐIVANJU NAJVIŠIH MALOPRODAJNIH </w:t>
      </w:r>
      <w:r w:rsidR="00CE4591">
        <w:rPr>
          <w:b/>
          <w:bCs/>
          <w:color w:val="000000"/>
          <w:sz w:val="28"/>
          <w:szCs w:val="28"/>
          <w:shd w:val="clear" w:color="auto" w:fill="FFFFFF"/>
        </w:rPr>
        <w:t xml:space="preserve">I VELEPRODAJNIH </w:t>
      </w:r>
      <w:r w:rsidRPr="00F96E8F">
        <w:rPr>
          <w:b/>
          <w:bCs/>
          <w:color w:val="000000"/>
          <w:sz w:val="28"/>
          <w:szCs w:val="28"/>
          <w:shd w:val="clear" w:color="auto" w:fill="FFFFFF"/>
        </w:rPr>
        <w:t>CIJENA NAFTNIH DERIVATA</w:t>
      </w:r>
    </w:p>
    <w:p w:rsidR="00EF7874" w:rsidRDefault="00EF7874" w:rsidP="00EF7874">
      <w:pPr>
        <w:shd w:val="clear" w:color="auto" w:fill="FFFFFF"/>
        <w:spacing w:before="34" w:after="48"/>
        <w:jc w:val="center"/>
        <w:textAlignment w:val="baseline"/>
        <w:rPr>
          <w:color w:val="231F20"/>
        </w:rPr>
      </w:pPr>
    </w:p>
    <w:p w:rsidR="00FC371D" w:rsidRPr="00FC371D" w:rsidRDefault="00FC371D" w:rsidP="00FC371D">
      <w:pPr>
        <w:autoSpaceDE w:val="0"/>
        <w:autoSpaceDN w:val="0"/>
        <w:adjustRightInd w:val="0"/>
        <w:spacing w:after="240" w:line="276" w:lineRule="auto"/>
        <w:jc w:val="center"/>
        <w:rPr>
          <w:rFonts w:eastAsiaTheme="minorHAnsi"/>
          <w:color w:val="000000"/>
          <w:lang w:eastAsia="en-US"/>
        </w:rPr>
      </w:pPr>
      <w:r w:rsidRPr="00FC371D">
        <w:rPr>
          <w:rFonts w:eastAsiaTheme="minorHAnsi"/>
          <w:color w:val="000000"/>
          <w:lang w:eastAsia="en-US"/>
        </w:rPr>
        <w:t>Članak 1.</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xml:space="preserve">Ovom Uredbom utvrđuju se iznosi najviših maloprodajnih </w:t>
      </w:r>
      <w:r w:rsidR="00CE4591">
        <w:rPr>
          <w:rFonts w:eastAsiaTheme="minorHAnsi"/>
          <w:color w:val="000000"/>
          <w:lang w:eastAsia="en-US"/>
        </w:rPr>
        <w:t xml:space="preserve">i veleprodajnih </w:t>
      </w:r>
      <w:r w:rsidRPr="00FC371D">
        <w:rPr>
          <w:rFonts w:eastAsiaTheme="minorHAnsi"/>
          <w:color w:val="000000"/>
          <w:lang w:eastAsia="en-US"/>
        </w:rPr>
        <w:t>cijena naftnih derivata koje energetski subjekti koji se bave trgovinom na veliko naftnim derivatima i/ili trgovinom na malo naftnim derivatima (u daljnjem tekstu: energetski subjekti), smiju primijeniti na području Republike Hrvatske.</w:t>
      </w:r>
    </w:p>
    <w:p w:rsidR="00FC371D" w:rsidRPr="00FC371D" w:rsidRDefault="00FC371D" w:rsidP="00FC371D">
      <w:pPr>
        <w:autoSpaceDE w:val="0"/>
        <w:autoSpaceDN w:val="0"/>
        <w:adjustRightInd w:val="0"/>
        <w:spacing w:after="240" w:line="276" w:lineRule="auto"/>
        <w:jc w:val="center"/>
        <w:rPr>
          <w:rFonts w:eastAsiaTheme="minorHAnsi"/>
          <w:color w:val="000000"/>
          <w:lang w:eastAsia="en-US"/>
        </w:rPr>
      </w:pPr>
      <w:r w:rsidRPr="00FC371D">
        <w:rPr>
          <w:rFonts w:eastAsiaTheme="minorHAnsi"/>
          <w:color w:val="000000"/>
          <w:lang w:eastAsia="en-US"/>
        </w:rPr>
        <w:t>Članak 2.</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(1) Ova Uredba primjenjuje se na sljedeće naftne derivate:</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motorne benzine</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dizelsko gorivo</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plavi dizel.</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(2) Najviša maloprodajna cijena utvrđuje se za litru naftnih derivata iz stavka 1. ovoga članka.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(3) Na najvišu maloprodajnu cijenu naftnih derivata nije dozvoljeno zaračunavati naknade ili druge troškove koji nisu propisani ovom Uredbom ili drugim posebnim propisima.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(4) Kvaliteta i označavanje naftnih derivata iz stavka 1. ovoga članka utvrđeni su Uredbom o kvaliteti tekućih naftnih goriva (»Narodne novine«, broj 131/21.).</w:t>
      </w: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after="240" w:line="276" w:lineRule="auto"/>
        <w:jc w:val="center"/>
        <w:rPr>
          <w:rFonts w:eastAsiaTheme="minorHAnsi"/>
          <w:color w:val="000000"/>
          <w:lang w:eastAsia="en-US"/>
        </w:rPr>
      </w:pPr>
      <w:r w:rsidRPr="00FC371D">
        <w:rPr>
          <w:rFonts w:eastAsiaTheme="minorHAnsi"/>
          <w:color w:val="000000"/>
          <w:lang w:eastAsia="en-US"/>
        </w:rPr>
        <w:t>Članak 3.</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(1) Najviše jedinične cijene na benzinskim postajama koje se nalaze na autocestama iz točke II. Odluke o razvrstavanju javnih cesta (»Narodne novine«, broj 41/22.) određuju se sukladno sljedećoj formuli:</w:t>
      </w: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numPr>
          <w:ilvl w:val="0"/>
          <w:numId w:val="26"/>
        </w:numPr>
        <w:spacing w:after="200" w:line="276" w:lineRule="auto"/>
        <w:contextualSpacing/>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rsidR="00FC371D" w:rsidRPr="00FC371D" w:rsidRDefault="00FC371D" w:rsidP="00FC371D">
      <w:pPr>
        <w:spacing w:after="200" w:line="276" w:lineRule="auto"/>
        <w:ind w:left="714"/>
        <w:contextualSpacing/>
        <w:jc w:val="both"/>
      </w:pPr>
    </w:p>
    <w:p w:rsidR="00FC371D" w:rsidRPr="00FC371D" w:rsidRDefault="0075038D" w:rsidP="00FC371D">
      <w:pPr>
        <w:numPr>
          <w:ilvl w:val="0"/>
          <w:numId w:val="26"/>
        </w:numPr>
        <w:spacing w:after="200" w:line="276" w:lineRule="auto"/>
        <w:contextualSpacing/>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t</m:t>
            </m:r>
          </m:sub>
        </m:sSub>
        <m:r>
          <w:rPr>
            <w:rFonts w:ascii="Cambria Math" w:hAnsi="Cambria Math"/>
            <w:color w:val="000000"/>
            <w:sz w:val="22"/>
            <w:szCs w:val="22"/>
          </w:rPr>
          <m:t xml:space="preserve">= </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MedM</m:t>
                        </m:r>
                      </m:e>
                      <m:sub>
                        <m:r>
                          <w:rPr>
                            <w:rFonts w:ascii="Cambria Math" w:hAnsi="Cambria Math"/>
                            <w:color w:val="000000"/>
                            <w:sz w:val="22"/>
                            <w:szCs w:val="22"/>
                          </w:rPr>
                          <m:t>i</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ρ</m:t>
            </m:r>
          </m:num>
          <m:den>
            <m:r>
              <w:rPr>
                <w:rFonts w:ascii="Cambria Math" w:hAnsi="Cambria Math"/>
                <w:color w:val="000000"/>
                <w:sz w:val="22"/>
                <w:szCs w:val="22"/>
              </w:rPr>
              <m:t>1000</m:t>
            </m:r>
          </m:den>
        </m:f>
      </m:oMath>
    </w:p>
    <w:p w:rsidR="00FC371D" w:rsidRPr="00FC371D" w:rsidRDefault="00FC371D" w:rsidP="00FC371D">
      <w:pPr>
        <w:spacing w:after="200" w:line="276" w:lineRule="auto"/>
        <w:ind w:left="720"/>
        <w:contextualSpacing/>
        <w:jc w:val="both"/>
        <w:rPr>
          <w:sz w:val="22"/>
          <w:szCs w:val="22"/>
        </w:rPr>
      </w:pPr>
    </w:p>
    <w:p w:rsidR="00FC371D" w:rsidRPr="00FC371D" w:rsidRDefault="00FC371D" w:rsidP="00FC371D">
      <w:pPr>
        <w:autoSpaceDE w:val="0"/>
        <w:autoSpaceDN w:val="0"/>
        <w:adjustRightInd w:val="0"/>
        <w:spacing w:line="276" w:lineRule="auto"/>
        <w:ind w:left="360"/>
        <w:jc w:val="both"/>
        <w:rPr>
          <w:rFonts w:eastAsiaTheme="minorHAnsi"/>
          <w:color w:val="000000"/>
          <w:lang w:eastAsia="en-US"/>
        </w:rPr>
      </w:pP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pri čemu je:</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PC = Jedinična cijena u HRK/l (izražena na tri decimalna mjesta)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lastRenderedPageBreak/>
        <w:t>P</w:t>
      </w:r>
      <w:r w:rsidRPr="00FC371D">
        <w:rPr>
          <w:rFonts w:eastAsiaTheme="minorHAnsi"/>
          <w:color w:val="000000"/>
          <w:vertAlign w:val="subscript"/>
          <w:lang w:eastAsia="en-US"/>
        </w:rPr>
        <w:t>t</w:t>
      </w:r>
      <w:r w:rsidRPr="00FC371D">
        <w:rPr>
          <w:rFonts w:eastAsiaTheme="minorHAnsi"/>
          <w:color w:val="000000"/>
          <w:lang w:eastAsia="en-US"/>
        </w:rPr>
        <w:t xml:space="preserve"> = Osnovna cijena fosilnog goriva u obračunskom razdoblju (t) u HRK/litri zaokružena na tri decimalna mjesta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P = Premija energetskog subjekta u HRK/l zaokružena na tri decimalna mjesta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xml:space="preserve">CIF </w:t>
      </w:r>
      <w:proofErr w:type="spellStart"/>
      <w:r w:rsidRPr="00FC371D">
        <w:rPr>
          <w:rFonts w:eastAsiaTheme="minorHAnsi"/>
          <w:color w:val="000000"/>
          <w:lang w:eastAsia="en-US"/>
        </w:rPr>
        <w:t>MedM</w:t>
      </w:r>
      <w:proofErr w:type="spellEnd"/>
      <w:r w:rsidRPr="00FC371D">
        <w:rPr>
          <w:rFonts w:eastAsiaTheme="minorHAnsi"/>
          <w:color w:val="000000"/>
          <w:lang w:eastAsia="en-US"/>
        </w:rPr>
        <w:t xml:space="preserve"> = Srednja dnevna burzovna cijena naftnih derivata u USD/t objavljena u 1397969777 </w:t>
      </w:r>
      <w:proofErr w:type="spellStart"/>
      <w:r w:rsidRPr="00FC371D">
        <w:rPr>
          <w:rFonts w:eastAsiaTheme="minorHAnsi"/>
          <w:color w:val="000000"/>
          <w:lang w:eastAsia="en-US"/>
        </w:rPr>
        <w:t>Platt’s</w:t>
      </w:r>
      <w:proofErr w:type="spellEnd"/>
      <w:r w:rsidRPr="00FC371D">
        <w:rPr>
          <w:rFonts w:eastAsiaTheme="minorHAnsi"/>
          <w:color w:val="000000"/>
          <w:lang w:eastAsia="en-US"/>
        </w:rPr>
        <w:t xml:space="preserve"> European </w:t>
      </w:r>
      <w:proofErr w:type="spellStart"/>
      <w:r w:rsidRPr="00FC371D">
        <w:rPr>
          <w:rFonts w:eastAsiaTheme="minorHAnsi"/>
          <w:color w:val="000000"/>
          <w:lang w:eastAsia="en-US"/>
        </w:rPr>
        <w:t>Marketscan</w:t>
      </w:r>
      <w:proofErr w:type="spellEnd"/>
      <w:r w:rsidRPr="00FC371D">
        <w:rPr>
          <w:rFonts w:eastAsiaTheme="minorHAnsi"/>
          <w:color w:val="000000"/>
          <w:lang w:eastAsia="en-US"/>
        </w:rPr>
        <w:t>' pod »</w:t>
      </w:r>
      <w:proofErr w:type="spellStart"/>
      <w:r w:rsidRPr="00FC371D">
        <w:rPr>
          <w:rFonts w:eastAsiaTheme="minorHAnsi"/>
          <w:color w:val="000000"/>
          <w:lang w:eastAsia="en-US"/>
        </w:rPr>
        <w:t>Mediterranean</w:t>
      </w:r>
      <w:proofErr w:type="spellEnd"/>
      <w:r w:rsidRPr="00FC371D">
        <w:rPr>
          <w:rFonts w:eastAsiaTheme="minorHAnsi"/>
          <w:color w:val="000000"/>
          <w:lang w:eastAsia="en-US"/>
        </w:rPr>
        <w:t xml:space="preserve"> </w:t>
      </w:r>
      <w:proofErr w:type="spellStart"/>
      <w:r w:rsidRPr="00FC371D">
        <w:rPr>
          <w:rFonts w:eastAsiaTheme="minorHAnsi"/>
          <w:color w:val="000000"/>
          <w:lang w:eastAsia="en-US"/>
        </w:rPr>
        <w:t>Cargoes</w:t>
      </w:r>
      <w:proofErr w:type="spellEnd"/>
      <w:r w:rsidRPr="00FC371D">
        <w:rPr>
          <w:rFonts w:eastAsiaTheme="minorHAnsi"/>
          <w:color w:val="000000"/>
          <w:lang w:eastAsia="en-US"/>
        </w:rPr>
        <w:t xml:space="preserve"> CIF Med (Genova/</w:t>
      </w:r>
      <w:proofErr w:type="spellStart"/>
      <w:r w:rsidRPr="00FC371D">
        <w:rPr>
          <w:rFonts w:eastAsiaTheme="minorHAnsi"/>
          <w:color w:val="000000"/>
          <w:lang w:eastAsia="en-US"/>
        </w:rPr>
        <w:t>Lavera</w:t>
      </w:r>
      <w:proofErr w:type="spellEnd"/>
      <w:r w:rsidRPr="00FC371D">
        <w:rPr>
          <w:rFonts w:eastAsiaTheme="minorHAnsi"/>
          <w:color w:val="000000"/>
          <w:lang w:eastAsia="en-US"/>
        </w:rPr>
        <w:t xml:space="preserve">)« za proizvode Premium </w:t>
      </w:r>
      <w:proofErr w:type="spellStart"/>
      <w:r w:rsidRPr="00FC371D">
        <w:rPr>
          <w:rFonts w:eastAsiaTheme="minorHAnsi"/>
          <w:color w:val="000000"/>
          <w:lang w:eastAsia="en-US"/>
        </w:rPr>
        <w:t>Unleaded</w:t>
      </w:r>
      <w:proofErr w:type="spellEnd"/>
      <w:r w:rsidRPr="00FC371D">
        <w:rPr>
          <w:rFonts w:eastAsiaTheme="minorHAnsi"/>
          <w:color w:val="000000"/>
          <w:lang w:eastAsia="en-US"/>
        </w:rPr>
        <w:t xml:space="preserve"> 10 </w:t>
      </w:r>
      <w:proofErr w:type="spellStart"/>
      <w:r w:rsidRPr="00FC371D">
        <w:rPr>
          <w:rFonts w:eastAsiaTheme="minorHAnsi"/>
          <w:color w:val="000000"/>
          <w:lang w:eastAsia="en-US"/>
        </w:rPr>
        <w:t>ppm</w:t>
      </w:r>
      <w:proofErr w:type="spellEnd"/>
      <w:r w:rsidRPr="00FC371D">
        <w:rPr>
          <w:rFonts w:eastAsiaTheme="minorHAnsi"/>
          <w:color w:val="000000"/>
          <w:lang w:eastAsia="en-US"/>
        </w:rPr>
        <w:t xml:space="preserve"> (Eurosuper95), 10 </w:t>
      </w:r>
      <w:proofErr w:type="spellStart"/>
      <w:r w:rsidRPr="00FC371D">
        <w:rPr>
          <w:rFonts w:eastAsiaTheme="minorHAnsi"/>
          <w:color w:val="000000"/>
          <w:lang w:eastAsia="en-US"/>
        </w:rPr>
        <w:t>ppm</w:t>
      </w:r>
      <w:proofErr w:type="spellEnd"/>
      <w:r w:rsidRPr="00FC371D">
        <w:rPr>
          <w:rFonts w:eastAsiaTheme="minorHAnsi"/>
          <w:color w:val="000000"/>
          <w:lang w:eastAsia="en-US"/>
        </w:rPr>
        <w:t xml:space="preserve"> ULSD (</w:t>
      </w:r>
      <w:proofErr w:type="spellStart"/>
      <w:r w:rsidRPr="00FC371D">
        <w:rPr>
          <w:rFonts w:eastAsiaTheme="minorHAnsi"/>
          <w:color w:val="000000"/>
          <w:lang w:eastAsia="en-US"/>
        </w:rPr>
        <w:t>Eurodizel</w:t>
      </w:r>
      <w:proofErr w:type="spellEnd"/>
      <w:r w:rsidRPr="00FC371D">
        <w:rPr>
          <w:rFonts w:eastAsiaTheme="minorHAnsi"/>
          <w:color w:val="000000"/>
          <w:lang w:eastAsia="en-US"/>
        </w:rPr>
        <w:t>), zaokružena na tri decimalna mjesta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T = Srednji dnevni tečaj u HRK/USD (šest decimalnih mjesta) koji objavljuje Hrvatska narodna banka za dan za koji je objavljena srednja dnevna burzovna cijena naftnih derivata (CIF Med)</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ρ = Gustoća naftnog derivata (ρ = 0,755 kg/l za motorne benzine; ρ = 0,845 kg/l za dizelska goriva)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i = Dnevni podaci: i = 1, 2, 3, ..., n</w:t>
      </w:r>
    </w:p>
    <w:p w:rsidR="00FC371D" w:rsidRPr="00FC371D" w:rsidRDefault="00FC371D" w:rsidP="00FC371D">
      <w:pPr>
        <w:spacing w:line="276" w:lineRule="auto"/>
        <w:jc w:val="both"/>
        <w:rPr>
          <w:rFonts w:eastAsiaTheme="minorHAnsi"/>
          <w:lang w:eastAsia="en-US"/>
        </w:rPr>
      </w:pPr>
      <w:r w:rsidRPr="00FC371D">
        <w:rPr>
          <w:rFonts w:eastAsiaTheme="minorHAnsi"/>
          <w:lang w:eastAsia="en-US"/>
        </w:rPr>
        <w:t>n = Broj objavljenih srednjih dnevnih burzovnih cijena naftnih derivata (CIF Med M) unutar obračunskog razdoblja</w:t>
      </w:r>
    </w:p>
    <w:p w:rsidR="00FC371D" w:rsidRPr="00FC371D" w:rsidRDefault="00FC371D" w:rsidP="00FC371D">
      <w:pPr>
        <w:spacing w:line="276" w:lineRule="auto"/>
        <w:jc w:val="both"/>
        <w:rPr>
          <w:rFonts w:eastAsiaTheme="minorHAnsi"/>
          <w:lang w:eastAsia="en-US"/>
        </w:rPr>
      </w:pPr>
      <w:r w:rsidRPr="00FC371D">
        <w:rPr>
          <w:rFonts w:eastAsiaTheme="minorHAnsi"/>
          <w:lang w:eastAsia="en-US"/>
        </w:rPr>
        <w:t>t = četrnaestodnevno obračunsko razdoblje (ponedjeljak – nedjelja); Cijene naftnih derivata mijenjaju se svakih četrnaest (14) dana. Dan primjene novih cijena naftnih derivata je utorak, nakon četrnaestodnevnog obračunskog razdoblja u 0.00 sati.</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(2) Najviša visina premije energetskog subjekta (P) utvrđuje se za motorne benzine 0,650 HRK/l, dizelska goriva u iznosu od 0,650 HRK/l i plavi dizel 0,400 HRK/l.</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(3) Najviša maloprodajna cijena za pojedini naftni derivat dobije se tako da se najviša jedinična cijena (PC) iz stavka 1.ovoga članka uveća za trošarinu i porez na dodanu vrijednost sukladno propisima. Maloprodajna cijena se zaokružuje na dva decimalna mjesta.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xml:space="preserve">(4) Najviše maloprodajne cijene za sve naftne derivate s dodanim multifunkcionalnim aditivima tijekom </w:t>
      </w:r>
      <w:proofErr w:type="spellStart"/>
      <w:r w:rsidRPr="00FC371D">
        <w:rPr>
          <w:rFonts w:eastAsiaTheme="minorHAnsi"/>
          <w:color w:val="000000"/>
          <w:lang w:eastAsia="en-US"/>
        </w:rPr>
        <w:t>namješavanja</w:t>
      </w:r>
      <w:proofErr w:type="spellEnd"/>
      <w:r w:rsidRPr="00FC371D">
        <w:rPr>
          <w:rFonts w:eastAsiaTheme="minorHAnsi"/>
          <w:color w:val="000000"/>
          <w:lang w:eastAsia="en-US"/>
        </w:rPr>
        <w:t>, skladištenja ili otpreme utvrđuje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(5) Energetski subjekt mora kupcima omogućiti kupnju pojedinog naftnog derivata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ovoga članka.</w:t>
      </w: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after="240" w:line="276" w:lineRule="auto"/>
        <w:jc w:val="center"/>
        <w:rPr>
          <w:rFonts w:eastAsiaTheme="minorHAnsi"/>
          <w:color w:val="000000"/>
          <w:lang w:eastAsia="en-US"/>
        </w:rPr>
      </w:pPr>
    </w:p>
    <w:p w:rsidR="00FC371D" w:rsidRPr="00FC371D" w:rsidRDefault="00FC371D" w:rsidP="00FC371D">
      <w:pPr>
        <w:autoSpaceDE w:val="0"/>
        <w:autoSpaceDN w:val="0"/>
        <w:adjustRightInd w:val="0"/>
        <w:spacing w:after="240" w:line="276" w:lineRule="auto"/>
        <w:jc w:val="center"/>
        <w:rPr>
          <w:rFonts w:eastAsiaTheme="minorHAnsi"/>
          <w:color w:val="000000"/>
          <w:lang w:eastAsia="en-US"/>
        </w:rPr>
      </w:pPr>
      <w:r w:rsidRPr="00FC371D">
        <w:rPr>
          <w:rFonts w:eastAsiaTheme="minorHAnsi"/>
          <w:color w:val="000000"/>
          <w:lang w:eastAsia="en-US"/>
        </w:rPr>
        <w:t>Članak 4.</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(1) Najviše maloprodajne cijene s porezom na dodanu vrijednost na benzinskim postajama koje se ne nalaze na autocestama iz točke II. Odluke o razvrstavanju javnih cesta, određuju se za: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motorni benzin – EUROSUPER 95 u iznosu od 13,50 kn/l</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dizelsko gorivo – EURODIZEL u iznosu od 13,08 kn/l</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dizelsko gorivo – EURODIZEL BS plavi u iznosu od 9,45 kn/l.</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lastRenderedPageBreak/>
        <w:t>(</w:t>
      </w:r>
      <w:r w:rsidR="00CE4591">
        <w:rPr>
          <w:rFonts w:eastAsiaTheme="minorHAnsi"/>
          <w:color w:val="000000"/>
          <w:lang w:eastAsia="en-US"/>
        </w:rPr>
        <w:t>2</w:t>
      </w:r>
      <w:r w:rsidRPr="00FC371D">
        <w:rPr>
          <w:rFonts w:eastAsiaTheme="minorHAnsi"/>
          <w:color w:val="000000"/>
          <w:lang w:eastAsia="en-US"/>
        </w:rPr>
        <w:t xml:space="preserve">) Najviše maloprodajne cijene za sve naftne derivate s dodanim multifunkcionalnim aditivima tijekom </w:t>
      </w:r>
      <w:proofErr w:type="spellStart"/>
      <w:r w:rsidRPr="00FC371D">
        <w:rPr>
          <w:rFonts w:eastAsiaTheme="minorHAnsi"/>
          <w:color w:val="000000"/>
          <w:lang w:eastAsia="en-US"/>
        </w:rPr>
        <w:t>namješavanja</w:t>
      </w:r>
      <w:proofErr w:type="spellEnd"/>
      <w:r w:rsidRPr="00FC371D">
        <w:rPr>
          <w:rFonts w:eastAsiaTheme="minorHAnsi"/>
          <w:color w:val="000000"/>
          <w:lang w:eastAsia="en-US"/>
        </w:rPr>
        <w:t>, skladištenja ili otpreme utvrđuje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w:t>
      </w:r>
      <w:r w:rsidR="00CE4591">
        <w:rPr>
          <w:rFonts w:eastAsiaTheme="minorHAnsi"/>
          <w:color w:val="000000"/>
          <w:lang w:eastAsia="en-US"/>
        </w:rPr>
        <w:t>3</w:t>
      </w:r>
      <w:r w:rsidRPr="00FC371D">
        <w:rPr>
          <w:rFonts w:eastAsiaTheme="minorHAnsi"/>
          <w:color w:val="000000"/>
          <w:lang w:eastAsia="en-US"/>
        </w:rPr>
        <w:t>) Energetski subjekt mora kupcima omogućiti kupnju pojedinog naftnog derivata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ovoga članka.«.</w:t>
      </w:r>
    </w:p>
    <w:p w:rsidR="00FC371D" w:rsidRDefault="00FC371D" w:rsidP="00FC371D">
      <w:pPr>
        <w:autoSpaceDE w:val="0"/>
        <w:autoSpaceDN w:val="0"/>
        <w:adjustRightInd w:val="0"/>
        <w:spacing w:after="240" w:line="276" w:lineRule="auto"/>
        <w:jc w:val="center"/>
        <w:rPr>
          <w:rFonts w:eastAsiaTheme="minorHAnsi"/>
          <w:color w:val="000000"/>
          <w:lang w:eastAsia="en-US"/>
        </w:rPr>
      </w:pPr>
    </w:p>
    <w:p w:rsidR="00CE4591" w:rsidRDefault="00CE4591" w:rsidP="00FC371D">
      <w:pPr>
        <w:autoSpaceDE w:val="0"/>
        <w:autoSpaceDN w:val="0"/>
        <w:adjustRightInd w:val="0"/>
        <w:spacing w:after="240" w:line="276" w:lineRule="auto"/>
        <w:jc w:val="center"/>
        <w:rPr>
          <w:rFonts w:eastAsiaTheme="minorHAnsi"/>
          <w:color w:val="000000"/>
          <w:lang w:eastAsia="en-US"/>
        </w:rPr>
      </w:pPr>
      <w:r>
        <w:rPr>
          <w:rFonts w:eastAsiaTheme="minorHAnsi"/>
          <w:color w:val="000000"/>
          <w:lang w:eastAsia="en-US"/>
        </w:rPr>
        <w:t>Članak 5.</w:t>
      </w:r>
    </w:p>
    <w:p w:rsidR="006E3251" w:rsidRDefault="00CE4591" w:rsidP="002E4427">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Najviše veleprodajne cijene za naftne derivate namijenjene za daljnju prodaju</w:t>
      </w:r>
      <w:r w:rsidR="004E4CD1">
        <w:rPr>
          <w:rFonts w:eastAsiaTheme="minorHAnsi"/>
          <w:color w:val="000000"/>
          <w:lang w:eastAsia="en-US"/>
        </w:rPr>
        <w:t xml:space="preserve"> s porezom na dodanu vrijednost</w:t>
      </w:r>
      <w:r w:rsidR="00150781">
        <w:rPr>
          <w:rFonts w:eastAsiaTheme="minorHAnsi"/>
          <w:color w:val="000000"/>
          <w:lang w:eastAsia="en-US"/>
        </w:rPr>
        <w:t xml:space="preserve"> i svim javnim davanjima</w:t>
      </w:r>
      <w:r w:rsidRPr="00FC371D">
        <w:rPr>
          <w:rFonts w:eastAsiaTheme="minorHAnsi"/>
          <w:color w:val="000000"/>
          <w:lang w:eastAsia="en-US"/>
        </w:rPr>
        <w:t>, određuju se</w:t>
      </w:r>
      <w:r w:rsidR="002E4427">
        <w:rPr>
          <w:rFonts w:eastAsiaTheme="minorHAnsi"/>
          <w:color w:val="000000"/>
          <w:lang w:eastAsia="en-US"/>
        </w:rPr>
        <w:t xml:space="preserve"> na način da krajnja maloprodajna cijena</w:t>
      </w:r>
      <w:r w:rsidR="000A6EFB">
        <w:rPr>
          <w:rFonts w:eastAsiaTheme="minorHAnsi"/>
          <w:color w:val="000000"/>
          <w:lang w:eastAsia="en-US"/>
        </w:rPr>
        <w:t xml:space="preserve"> energetskih subjekata u maloprodaji</w:t>
      </w:r>
      <w:r w:rsidR="002E4427">
        <w:rPr>
          <w:rFonts w:eastAsiaTheme="minorHAnsi"/>
          <w:color w:val="000000"/>
          <w:lang w:eastAsia="en-US"/>
        </w:rPr>
        <w:t xml:space="preserve"> s premijom energetskom subjektu ne pr</w:t>
      </w:r>
      <w:r w:rsidR="00150781">
        <w:rPr>
          <w:rFonts w:eastAsiaTheme="minorHAnsi"/>
          <w:color w:val="000000"/>
          <w:lang w:eastAsia="en-US"/>
        </w:rPr>
        <w:t>ij</w:t>
      </w:r>
      <w:r w:rsidR="002E4427">
        <w:rPr>
          <w:rFonts w:eastAsiaTheme="minorHAnsi"/>
          <w:color w:val="000000"/>
          <w:lang w:eastAsia="en-US"/>
        </w:rPr>
        <w:t>eđe iznose iz stavka 1. Članka 4. ove Uredbe.</w:t>
      </w:r>
    </w:p>
    <w:p w:rsidR="00CE4591" w:rsidRPr="00FC371D" w:rsidRDefault="00CE4591" w:rsidP="00CE4591">
      <w:pPr>
        <w:autoSpaceDE w:val="0"/>
        <w:autoSpaceDN w:val="0"/>
        <w:adjustRightInd w:val="0"/>
        <w:spacing w:line="276" w:lineRule="auto"/>
        <w:jc w:val="both"/>
        <w:rPr>
          <w:rFonts w:eastAsiaTheme="minorHAnsi"/>
          <w:color w:val="000000"/>
          <w:lang w:eastAsia="en-US"/>
        </w:rPr>
      </w:pPr>
    </w:p>
    <w:p w:rsidR="00CE4591" w:rsidRPr="00FC371D" w:rsidRDefault="00CE4591" w:rsidP="00FC371D">
      <w:pPr>
        <w:autoSpaceDE w:val="0"/>
        <w:autoSpaceDN w:val="0"/>
        <w:adjustRightInd w:val="0"/>
        <w:spacing w:after="240" w:line="276" w:lineRule="auto"/>
        <w:jc w:val="center"/>
        <w:rPr>
          <w:rFonts w:eastAsiaTheme="minorHAnsi"/>
          <w:color w:val="000000"/>
          <w:lang w:eastAsia="en-US"/>
        </w:rPr>
      </w:pPr>
    </w:p>
    <w:p w:rsidR="004747A8" w:rsidRDefault="00FC371D" w:rsidP="004747A8">
      <w:pPr>
        <w:autoSpaceDE w:val="0"/>
        <w:autoSpaceDN w:val="0"/>
        <w:adjustRightInd w:val="0"/>
        <w:spacing w:after="240" w:line="276" w:lineRule="auto"/>
        <w:jc w:val="center"/>
        <w:rPr>
          <w:rFonts w:eastAsiaTheme="minorHAnsi"/>
          <w:color w:val="000000"/>
          <w:lang w:eastAsia="en-US"/>
        </w:rPr>
      </w:pPr>
      <w:r w:rsidRPr="00FC371D">
        <w:rPr>
          <w:rFonts w:eastAsiaTheme="minorHAnsi"/>
          <w:color w:val="000000"/>
          <w:lang w:eastAsia="en-US"/>
        </w:rPr>
        <w:t xml:space="preserve">Članak </w:t>
      </w:r>
      <w:r w:rsidR="00CE4591">
        <w:rPr>
          <w:rFonts w:eastAsiaTheme="minorHAnsi"/>
          <w:color w:val="000000"/>
          <w:lang w:eastAsia="en-US"/>
        </w:rPr>
        <w:t>6</w:t>
      </w:r>
      <w:r w:rsidRPr="00FC371D">
        <w:rPr>
          <w:rFonts w:eastAsiaTheme="minorHAnsi"/>
          <w:color w:val="000000"/>
          <w:lang w:eastAsia="en-US"/>
        </w:rPr>
        <w:t>.</w:t>
      </w:r>
    </w:p>
    <w:p w:rsidR="004747A8" w:rsidRDefault="004747A8" w:rsidP="004747A8">
      <w:pPr>
        <w:autoSpaceDE w:val="0"/>
        <w:autoSpaceDN w:val="0"/>
        <w:adjustRightInd w:val="0"/>
        <w:spacing w:after="240" w:line="276" w:lineRule="auto"/>
        <w:jc w:val="both"/>
        <w:rPr>
          <w:rFonts w:eastAsiaTheme="minorHAnsi"/>
          <w:color w:val="000000"/>
          <w:lang w:eastAsia="en-US"/>
        </w:rPr>
      </w:pPr>
      <w:r>
        <w:rPr>
          <w:rFonts w:eastAsiaTheme="minorHAnsi"/>
          <w:color w:val="000000"/>
          <w:lang w:eastAsia="en-US"/>
        </w:rPr>
        <w:t xml:space="preserve">(1) </w:t>
      </w:r>
      <w:r w:rsidR="00FC371D" w:rsidRPr="004747A8">
        <w:rPr>
          <w:rFonts w:eastAsiaTheme="minorHAnsi"/>
          <w:color w:val="000000"/>
          <w:lang w:eastAsia="en-US"/>
        </w:rPr>
        <w:t>Prvi dan primjene novih cijena naftnih derivata je dan stupanja na snagu ove Uredbe, a maksimalne maloprodajne cijene određene su za neprekinuto razdoblje od 14 dana.</w:t>
      </w:r>
    </w:p>
    <w:p w:rsidR="007A57A8" w:rsidRPr="004747A8" w:rsidRDefault="004747A8" w:rsidP="004747A8">
      <w:pPr>
        <w:autoSpaceDE w:val="0"/>
        <w:autoSpaceDN w:val="0"/>
        <w:adjustRightInd w:val="0"/>
        <w:spacing w:after="240" w:line="276" w:lineRule="auto"/>
        <w:jc w:val="both"/>
        <w:rPr>
          <w:rFonts w:eastAsiaTheme="minorHAnsi"/>
          <w:color w:val="000000"/>
          <w:lang w:eastAsia="en-US"/>
        </w:rPr>
      </w:pPr>
      <w:r>
        <w:rPr>
          <w:rFonts w:eastAsiaTheme="minorHAnsi"/>
          <w:color w:val="000000"/>
          <w:lang w:eastAsia="en-US"/>
        </w:rPr>
        <w:t xml:space="preserve">(2) </w:t>
      </w:r>
      <w:r w:rsidR="007A57A8" w:rsidRPr="007A57A8">
        <w:rPr>
          <w:rFonts w:eastAsiaTheme="minorHAnsi"/>
          <w:color w:val="000000"/>
          <w:lang w:eastAsia="en-US"/>
        </w:rPr>
        <w:t xml:space="preserve">Danom stupanja na snagu ove Uredbe prestaje važiti Uredba o </w:t>
      </w:r>
      <w:r w:rsidR="007A57A8" w:rsidRPr="004747A8">
        <w:rPr>
          <w:rFonts w:eastAsiaTheme="minorHAnsi"/>
          <w:color w:val="000000"/>
          <w:lang w:eastAsia="en-US"/>
        </w:rPr>
        <w:t>utvrđivanju najviših maloprodajnih cijena naftnih derivata (»Narodne novine«, br. 64/22 i 70/22).</w:t>
      </w:r>
    </w:p>
    <w:p w:rsidR="007A57A8" w:rsidRPr="00FC371D" w:rsidRDefault="007A57A8"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after="240" w:line="276" w:lineRule="auto"/>
        <w:jc w:val="center"/>
        <w:rPr>
          <w:rFonts w:eastAsiaTheme="minorHAnsi"/>
          <w:color w:val="000000"/>
          <w:lang w:eastAsia="en-US"/>
        </w:rPr>
      </w:pPr>
      <w:r w:rsidRPr="00FC371D">
        <w:rPr>
          <w:rFonts w:eastAsiaTheme="minorHAnsi"/>
          <w:color w:val="000000"/>
          <w:lang w:eastAsia="en-US"/>
        </w:rPr>
        <w:t xml:space="preserve">Članak </w:t>
      </w:r>
      <w:r w:rsidR="00E9758E">
        <w:rPr>
          <w:rFonts w:eastAsiaTheme="minorHAnsi"/>
          <w:color w:val="000000"/>
          <w:lang w:eastAsia="en-US"/>
        </w:rPr>
        <w:t>7</w:t>
      </w:r>
      <w:r w:rsidRPr="00FC371D">
        <w:rPr>
          <w:rFonts w:eastAsiaTheme="minorHAnsi"/>
          <w:color w:val="000000"/>
          <w:lang w:eastAsia="en-US"/>
        </w:rPr>
        <w:t>.</w:t>
      </w:r>
    </w:p>
    <w:p w:rsidR="002217B1" w:rsidRPr="007A57A8" w:rsidRDefault="00FC371D" w:rsidP="007A57A8">
      <w:pPr>
        <w:jc w:val="both"/>
        <w:rPr>
          <w:rFonts w:eastAsiaTheme="minorHAnsi"/>
          <w:color w:val="000000"/>
          <w:lang w:eastAsia="en-US"/>
        </w:rPr>
      </w:pPr>
      <w:r w:rsidRPr="007A57A8">
        <w:rPr>
          <w:rFonts w:eastAsiaTheme="minorHAnsi"/>
          <w:color w:val="000000"/>
          <w:lang w:eastAsia="en-US"/>
        </w:rPr>
        <w:t>Ova Uredba stupa na snagu prvoga dana od dana objave u »Narodnim novinama«.</w:t>
      </w: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line="276" w:lineRule="auto"/>
        <w:jc w:val="both"/>
        <w:rPr>
          <w:rFonts w:eastAsiaTheme="minorHAnsi"/>
          <w:color w:val="000000"/>
          <w:lang w:eastAsia="en-US"/>
        </w:rPr>
      </w:pP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xml:space="preserve">Klasa: </w:t>
      </w:r>
    </w:p>
    <w:p w:rsidR="00FC371D" w:rsidRPr="00FC371D" w:rsidRDefault="00FC371D" w:rsidP="00FC371D">
      <w:pPr>
        <w:autoSpaceDE w:val="0"/>
        <w:autoSpaceDN w:val="0"/>
        <w:adjustRightInd w:val="0"/>
        <w:spacing w:line="276" w:lineRule="auto"/>
        <w:jc w:val="both"/>
        <w:rPr>
          <w:rFonts w:eastAsiaTheme="minorHAnsi"/>
          <w:color w:val="000000"/>
          <w:lang w:eastAsia="en-US"/>
        </w:rPr>
      </w:pPr>
      <w:proofErr w:type="spellStart"/>
      <w:r w:rsidRPr="00FC371D">
        <w:rPr>
          <w:rFonts w:eastAsiaTheme="minorHAnsi"/>
          <w:color w:val="000000"/>
          <w:lang w:eastAsia="en-US"/>
        </w:rPr>
        <w:t>Urbroj</w:t>
      </w:r>
      <w:proofErr w:type="spellEnd"/>
      <w:r w:rsidRPr="00FC371D">
        <w:rPr>
          <w:rFonts w:eastAsiaTheme="minorHAnsi"/>
          <w:color w:val="000000"/>
          <w:lang w:eastAsia="en-US"/>
        </w:rPr>
        <w:t xml:space="preserve">: </w:t>
      </w:r>
    </w:p>
    <w:p w:rsidR="00FC371D" w:rsidRPr="00FC371D" w:rsidRDefault="00FC371D" w:rsidP="00FC371D">
      <w:pPr>
        <w:autoSpaceDE w:val="0"/>
        <w:autoSpaceDN w:val="0"/>
        <w:adjustRightInd w:val="0"/>
        <w:spacing w:line="276" w:lineRule="auto"/>
        <w:jc w:val="both"/>
        <w:rPr>
          <w:rFonts w:eastAsiaTheme="minorHAnsi"/>
          <w:color w:val="000000"/>
          <w:lang w:eastAsia="en-US"/>
        </w:rPr>
      </w:pPr>
      <w:r w:rsidRPr="00FC371D">
        <w:rPr>
          <w:rFonts w:eastAsiaTheme="minorHAnsi"/>
          <w:color w:val="000000"/>
          <w:lang w:eastAsia="en-US"/>
        </w:rPr>
        <w:t xml:space="preserve">Zagreb, </w:t>
      </w:r>
    </w:p>
    <w:p w:rsidR="00FC371D" w:rsidRPr="00FC371D" w:rsidRDefault="00FC371D" w:rsidP="00FC371D">
      <w:pPr>
        <w:spacing w:after="160" w:line="276" w:lineRule="auto"/>
        <w:ind w:left="4956"/>
        <w:jc w:val="center"/>
        <w:rPr>
          <w:rFonts w:eastAsiaTheme="minorHAnsi"/>
          <w:lang w:eastAsia="en-US"/>
        </w:rPr>
      </w:pPr>
    </w:p>
    <w:p w:rsidR="00FC371D" w:rsidRPr="00FC371D" w:rsidRDefault="00FC371D" w:rsidP="00FC371D">
      <w:pPr>
        <w:spacing w:after="160" w:line="276" w:lineRule="auto"/>
        <w:ind w:left="4956"/>
        <w:jc w:val="center"/>
        <w:rPr>
          <w:rFonts w:eastAsiaTheme="minorHAnsi"/>
          <w:lang w:eastAsia="en-US"/>
        </w:rPr>
      </w:pPr>
      <w:r w:rsidRPr="00FC371D">
        <w:rPr>
          <w:rFonts w:eastAsiaTheme="minorHAnsi"/>
          <w:lang w:eastAsia="en-US"/>
        </w:rPr>
        <w:t>Predsjednik</w:t>
      </w:r>
    </w:p>
    <w:p w:rsidR="00FC371D" w:rsidRPr="00FC371D" w:rsidRDefault="00FC371D" w:rsidP="00FC371D">
      <w:pPr>
        <w:spacing w:after="160" w:line="276" w:lineRule="auto"/>
        <w:ind w:left="4956"/>
        <w:jc w:val="center"/>
        <w:rPr>
          <w:rFonts w:eastAsiaTheme="minorHAnsi"/>
          <w:lang w:eastAsia="en-US"/>
        </w:rPr>
      </w:pPr>
      <w:r w:rsidRPr="00FC371D">
        <w:rPr>
          <w:rFonts w:eastAsiaTheme="minorHAnsi"/>
          <w:lang w:eastAsia="en-US"/>
        </w:rPr>
        <w:t xml:space="preserve">mr. </w:t>
      </w:r>
      <w:proofErr w:type="spellStart"/>
      <w:r w:rsidRPr="00FC371D">
        <w:rPr>
          <w:rFonts w:eastAsiaTheme="minorHAnsi"/>
          <w:lang w:eastAsia="en-US"/>
        </w:rPr>
        <w:t>sc</w:t>
      </w:r>
      <w:proofErr w:type="spellEnd"/>
      <w:r w:rsidRPr="00FC371D">
        <w:rPr>
          <w:rFonts w:eastAsiaTheme="minorHAnsi"/>
          <w:lang w:eastAsia="en-US"/>
        </w:rPr>
        <w:t>. Andrej Plenković, v. r.</w:t>
      </w:r>
    </w:p>
    <w:p w:rsidR="00FC371D" w:rsidRPr="00FC371D" w:rsidRDefault="00FC371D" w:rsidP="00FC371D">
      <w:pPr>
        <w:pBdr>
          <w:top w:val="nil"/>
          <w:left w:val="nil"/>
          <w:bottom w:val="nil"/>
          <w:right w:val="nil"/>
          <w:between w:val="nil"/>
          <w:bar w:val="nil"/>
        </w:pBdr>
        <w:spacing w:after="60"/>
        <w:jc w:val="center"/>
        <w:rPr>
          <w:b/>
          <w:bCs/>
          <w:color w:val="000000"/>
          <w:u w:color="000000"/>
          <w:bdr w:val="nil"/>
        </w:rPr>
      </w:pPr>
    </w:p>
    <w:p w:rsidR="00FC371D" w:rsidRPr="00FC371D" w:rsidRDefault="00FC371D" w:rsidP="00FC371D">
      <w:pPr>
        <w:pBdr>
          <w:top w:val="nil"/>
          <w:left w:val="nil"/>
          <w:bottom w:val="nil"/>
          <w:right w:val="nil"/>
          <w:between w:val="nil"/>
          <w:bar w:val="nil"/>
        </w:pBdr>
        <w:spacing w:after="60"/>
        <w:jc w:val="center"/>
        <w:rPr>
          <w:b/>
          <w:bCs/>
          <w:color w:val="000000"/>
          <w:u w:color="000000"/>
          <w:bdr w:val="nil"/>
        </w:rPr>
      </w:pPr>
    </w:p>
    <w:p w:rsidR="00FC371D" w:rsidRPr="00FC371D" w:rsidRDefault="00FC371D" w:rsidP="00FC371D">
      <w:pPr>
        <w:pBdr>
          <w:top w:val="nil"/>
          <w:left w:val="nil"/>
          <w:bottom w:val="nil"/>
          <w:right w:val="nil"/>
          <w:between w:val="nil"/>
          <w:bar w:val="nil"/>
        </w:pBdr>
        <w:spacing w:after="60"/>
        <w:jc w:val="center"/>
        <w:rPr>
          <w:b/>
          <w:bCs/>
          <w:color w:val="000000"/>
          <w:u w:color="000000"/>
          <w:bdr w:val="nil"/>
        </w:rPr>
      </w:pPr>
    </w:p>
    <w:p w:rsidR="00FC371D" w:rsidRPr="00FC371D" w:rsidRDefault="00FC371D" w:rsidP="00FC371D">
      <w:pPr>
        <w:pBdr>
          <w:top w:val="nil"/>
          <w:left w:val="nil"/>
          <w:bottom w:val="nil"/>
          <w:right w:val="nil"/>
          <w:between w:val="nil"/>
          <w:bar w:val="nil"/>
        </w:pBdr>
        <w:spacing w:after="60"/>
        <w:jc w:val="center"/>
        <w:rPr>
          <w:b/>
          <w:bCs/>
          <w:color w:val="000000"/>
          <w:u w:color="000000"/>
          <w:bdr w:val="nil"/>
        </w:rPr>
      </w:pPr>
    </w:p>
    <w:p w:rsidR="00FC371D" w:rsidRPr="00FC371D" w:rsidRDefault="00FC371D" w:rsidP="00FC371D">
      <w:pPr>
        <w:pBdr>
          <w:top w:val="nil"/>
          <w:left w:val="nil"/>
          <w:bottom w:val="nil"/>
          <w:right w:val="nil"/>
          <w:between w:val="nil"/>
          <w:bar w:val="nil"/>
        </w:pBdr>
        <w:spacing w:after="60"/>
        <w:jc w:val="center"/>
        <w:rPr>
          <w:color w:val="000000"/>
          <w:u w:color="000000"/>
          <w:bdr w:val="nil"/>
        </w:rPr>
      </w:pPr>
      <w:r w:rsidRPr="00FC371D">
        <w:rPr>
          <w:b/>
          <w:bCs/>
          <w:color w:val="000000"/>
          <w:u w:color="000000"/>
          <w:bdr w:val="nil"/>
        </w:rPr>
        <w:t>OBRAZLOŽENJE</w:t>
      </w:r>
    </w:p>
    <w:p w:rsidR="00FC371D" w:rsidRPr="00FC371D" w:rsidRDefault="00FC371D" w:rsidP="00FC371D">
      <w:pPr>
        <w:pBdr>
          <w:top w:val="nil"/>
          <w:left w:val="nil"/>
          <w:bottom w:val="nil"/>
          <w:right w:val="nil"/>
          <w:between w:val="nil"/>
          <w:bar w:val="nil"/>
        </w:pBdr>
        <w:spacing w:after="60"/>
        <w:jc w:val="center"/>
        <w:rPr>
          <w:color w:val="000000"/>
          <w:u w:color="000000"/>
          <w:bdr w:val="nil"/>
        </w:rPr>
      </w:pPr>
    </w:p>
    <w:p w:rsidR="00FC371D" w:rsidRPr="00FC371D" w:rsidRDefault="00FC371D" w:rsidP="00FC371D">
      <w:pPr>
        <w:pBdr>
          <w:top w:val="nil"/>
          <w:left w:val="nil"/>
          <w:bottom w:val="nil"/>
          <w:right w:val="nil"/>
          <w:between w:val="nil"/>
          <w:bar w:val="nil"/>
        </w:pBdr>
        <w:spacing w:before="100" w:after="100"/>
        <w:jc w:val="both"/>
        <w:rPr>
          <w:rFonts w:eastAsia="Arial Unicode MS" w:cs="Arial Unicode MS"/>
          <w:color w:val="000000"/>
          <w:u w:color="000000"/>
          <w:bdr w:val="nil"/>
        </w:rPr>
      </w:pPr>
      <w:r w:rsidRPr="00FC371D">
        <w:rPr>
          <w:rFonts w:eastAsia="Arial Unicode MS" w:cs="Arial Unicode MS"/>
          <w:color w:val="000000"/>
          <w:u w:color="000000"/>
          <w:bdr w:val="nil"/>
        </w:rPr>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rsidR="00FC371D" w:rsidRPr="00FC371D" w:rsidRDefault="00FC371D" w:rsidP="00FC371D">
      <w:pPr>
        <w:pBdr>
          <w:top w:val="nil"/>
          <w:left w:val="nil"/>
          <w:bottom w:val="nil"/>
          <w:right w:val="nil"/>
          <w:between w:val="nil"/>
          <w:bar w:val="nil"/>
        </w:pBdr>
        <w:spacing w:before="100" w:after="100"/>
        <w:jc w:val="both"/>
        <w:rPr>
          <w:rFonts w:eastAsia="Arial Unicode MS" w:cs="Arial Unicode MS"/>
          <w:color w:val="000000"/>
          <w:u w:color="000000"/>
          <w:bdr w:val="nil"/>
        </w:rPr>
      </w:pPr>
      <w:r w:rsidRPr="00FC371D">
        <w:rPr>
          <w:rFonts w:eastAsia="Arial Unicode MS" w:cs="Arial Unicode MS"/>
          <w:color w:val="000000"/>
          <w:u w:color="000000"/>
          <w:bdr w:val="nil"/>
        </w:rPr>
        <w:t xml:space="preserve">Zbog velikog porasta maloprodajnih cijena naftnih derivata Vlada RH donosi Uredbu o utvrđivanju najviših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rsidR="00FC371D" w:rsidRPr="00FC371D" w:rsidRDefault="00FC371D" w:rsidP="00FC371D">
      <w:pPr>
        <w:pBdr>
          <w:top w:val="nil"/>
          <w:left w:val="nil"/>
          <w:bottom w:val="nil"/>
          <w:right w:val="nil"/>
          <w:between w:val="nil"/>
          <w:bar w:val="nil"/>
        </w:pBdr>
        <w:spacing w:after="240"/>
        <w:jc w:val="both"/>
        <w:rPr>
          <w:color w:val="000000"/>
          <w:u w:color="000000"/>
          <w:bdr w:val="nil"/>
        </w:rPr>
      </w:pPr>
      <w:r w:rsidRPr="00FC371D">
        <w:rPr>
          <w:color w:val="000000"/>
          <w:u w:color="000000"/>
          <w:bdr w:val="nil"/>
        </w:rPr>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rsidR="00FC371D" w:rsidRPr="00FC371D" w:rsidRDefault="00FC371D" w:rsidP="00FC371D">
      <w:pPr>
        <w:pBdr>
          <w:top w:val="nil"/>
          <w:left w:val="nil"/>
          <w:bottom w:val="nil"/>
          <w:right w:val="nil"/>
          <w:between w:val="nil"/>
          <w:bar w:val="nil"/>
        </w:pBdr>
        <w:spacing w:after="240"/>
        <w:jc w:val="both"/>
        <w:rPr>
          <w:color w:val="000000"/>
          <w:u w:color="000000"/>
          <w:bdr w:val="nil"/>
        </w:rPr>
      </w:pPr>
      <w:r w:rsidRPr="00FC371D">
        <w:rPr>
          <w:color w:val="000000"/>
          <w:u w:color="000000"/>
          <w:bdr w:val="nil"/>
        </w:rPr>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w:t>
      </w:r>
      <w:r w:rsidRPr="00FC371D">
        <w:rPr>
          <w:color w:val="000000"/>
          <w:u w:color="000000"/>
          <w:bdr w:val="nil"/>
          <w:lang w:val="it-IT"/>
        </w:rPr>
        <w:t>»</w:t>
      </w:r>
      <w:r w:rsidRPr="00FC371D">
        <w:rPr>
          <w:color w:val="000000"/>
          <w:u w:color="000000"/>
          <w:bdr w:val="nil"/>
        </w:rPr>
        <w:t>Narodne novine</w:t>
      </w:r>
      <w:r w:rsidRPr="00FC371D">
        <w:rPr>
          <w:color w:val="000000"/>
          <w:u w:color="000000"/>
          <w:bdr w:val="nil"/>
          <w:lang w:val="fr-FR"/>
        </w:rPr>
        <w:t>«</w:t>
      </w:r>
      <w:r w:rsidRPr="00FC371D">
        <w:rPr>
          <w:color w:val="000000"/>
          <w:u w:color="000000"/>
          <w:bdr w:val="nil"/>
        </w:rPr>
        <w:t>, br. 19/14, 73/17 i 96/19) donese ova Uredba.</w:t>
      </w:r>
    </w:p>
    <w:p w:rsidR="000A6EFB" w:rsidRDefault="002E4427" w:rsidP="00FC371D">
      <w:pPr>
        <w:pBdr>
          <w:top w:val="nil"/>
          <w:left w:val="nil"/>
          <w:bottom w:val="nil"/>
          <w:right w:val="nil"/>
          <w:between w:val="nil"/>
          <w:bar w:val="nil"/>
        </w:pBdr>
        <w:spacing w:after="240"/>
        <w:jc w:val="both"/>
        <w:rPr>
          <w:color w:val="000000"/>
          <w:u w:color="000000"/>
          <w:bdr w:val="nil"/>
        </w:rPr>
      </w:pPr>
      <w:r w:rsidRPr="002E4427">
        <w:rPr>
          <w:color w:val="000000"/>
          <w:u w:color="000000"/>
          <w:bdr w:val="nil"/>
        </w:rPr>
        <w:t xml:space="preserve">Na benzinskim tvrtkama koje se nalaze na autocesti određuje se cijena  eurosupera 95, </w:t>
      </w:r>
      <w:proofErr w:type="spellStart"/>
      <w:r w:rsidRPr="002E4427">
        <w:rPr>
          <w:color w:val="000000"/>
          <w:u w:color="000000"/>
          <w:bdr w:val="nil"/>
        </w:rPr>
        <w:t>eurodizela</w:t>
      </w:r>
      <w:proofErr w:type="spellEnd"/>
      <w:r w:rsidRPr="002E4427">
        <w:rPr>
          <w:color w:val="000000"/>
          <w:u w:color="000000"/>
          <w:bdr w:val="nil"/>
        </w:rPr>
        <w:t xml:space="preserve"> i plavog dizela sukladno formuli koja uvažava 14 dnevni prosjek cijena derivata na mediteranskom tržištu. Na benzinskim postajama koje nisu na autocestama maloprodajna cijena je fiksna, </w:t>
      </w:r>
      <w:r>
        <w:rPr>
          <w:color w:val="000000"/>
          <w:u w:color="000000"/>
          <w:bdr w:val="nil"/>
        </w:rPr>
        <w:t>te da se veleprodajna cijena formira na način na koji postoji premija energetskom subjektu</w:t>
      </w:r>
      <w:r w:rsidR="000A6EFB">
        <w:rPr>
          <w:color w:val="000000"/>
          <w:u w:color="000000"/>
          <w:bdr w:val="nil"/>
        </w:rPr>
        <w:t xml:space="preserve"> koja se prenosi na</w:t>
      </w:r>
      <w:r>
        <w:rPr>
          <w:color w:val="000000"/>
          <w:u w:color="000000"/>
          <w:bdr w:val="nil"/>
        </w:rPr>
        <w:t xml:space="preserve"> distributere</w:t>
      </w:r>
      <w:r w:rsidR="000A6EFB">
        <w:rPr>
          <w:color w:val="000000"/>
          <w:u w:color="000000"/>
          <w:bdr w:val="nil"/>
        </w:rPr>
        <w:t xml:space="preserve"> u maloprodaji.</w:t>
      </w:r>
    </w:p>
    <w:p w:rsidR="002E4427" w:rsidRPr="00FC371D" w:rsidRDefault="002E4427" w:rsidP="00FC371D">
      <w:pPr>
        <w:pBdr>
          <w:top w:val="nil"/>
          <w:left w:val="nil"/>
          <w:bottom w:val="nil"/>
          <w:right w:val="nil"/>
          <w:between w:val="nil"/>
          <w:bar w:val="nil"/>
        </w:pBdr>
        <w:spacing w:after="240"/>
        <w:jc w:val="both"/>
        <w:rPr>
          <w:color w:val="000000"/>
          <w:u w:color="000000"/>
          <w:bdr w:val="nil"/>
        </w:rPr>
      </w:pPr>
    </w:p>
    <w:p w:rsidR="00FC371D" w:rsidRPr="00FC371D" w:rsidRDefault="00FC371D" w:rsidP="00FC371D">
      <w:pPr>
        <w:spacing w:after="160" w:line="276" w:lineRule="auto"/>
        <w:ind w:left="4956"/>
        <w:jc w:val="center"/>
        <w:rPr>
          <w:rFonts w:eastAsiaTheme="minorHAnsi"/>
          <w:lang w:eastAsia="en-US"/>
        </w:rPr>
      </w:pPr>
    </w:p>
    <w:p w:rsidR="004C1DE0" w:rsidRDefault="004C1DE0" w:rsidP="00FC371D">
      <w:pPr>
        <w:shd w:val="clear" w:color="auto" w:fill="FFFFFF"/>
        <w:spacing w:before="34" w:after="48"/>
        <w:jc w:val="center"/>
        <w:textAlignment w:val="baseline"/>
      </w:pPr>
    </w:p>
    <w:sectPr w:rsidR="004C1DE0" w:rsidSect="001046D3">
      <w:headerReference w:type="default" r:id="rId18"/>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8D" w:rsidRDefault="0075038D">
      <w:r>
        <w:separator/>
      </w:r>
    </w:p>
  </w:endnote>
  <w:endnote w:type="continuationSeparator" w:id="0">
    <w:p w:rsidR="0075038D" w:rsidRDefault="0075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Default="00C541A4">
    <w:pPr>
      <w:pStyle w:val="Footer"/>
    </w:pPr>
  </w:p>
  <w:p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8D" w:rsidRDefault="0075038D">
      <w:r>
        <w:separator/>
      </w:r>
    </w:p>
  </w:footnote>
  <w:footnote w:type="continuationSeparator" w:id="0">
    <w:p w:rsidR="0075038D" w:rsidRDefault="0075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rsidR="00C541A4" w:rsidRDefault="002E5B10">
        <w:pPr>
          <w:pStyle w:val="Header"/>
          <w:jc w:val="center"/>
        </w:pPr>
        <w:r>
          <w:fldChar w:fldCharType="begin"/>
        </w:r>
        <w:r w:rsidR="00C541A4">
          <w:instrText>PAGE   \* MERGEFORMAT</w:instrText>
        </w:r>
        <w:r>
          <w:fldChar w:fldCharType="separate"/>
        </w:r>
        <w:r w:rsidR="00CB2E50">
          <w:rPr>
            <w:noProof/>
          </w:rPr>
          <w:t>6</w:t>
        </w:r>
        <w:r>
          <w:rPr>
            <w:noProof/>
          </w:rPr>
          <w:fldChar w:fldCharType="end"/>
        </w:r>
      </w:p>
    </w:sdtContent>
  </w:sdt>
  <w:p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FC06F1"/>
    <w:multiLevelType w:val="hybridMultilevel"/>
    <w:tmpl w:val="F63C1C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6B5322"/>
    <w:multiLevelType w:val="hybridMultilevel"/>
    <w:tmpl w:val="C6A065CE"/>
    <w:lvl w:ilvl="0" w:tplc="FE92BE8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8"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1"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71A8194C"/>
    <w:multiLevelType w:val="hybridMultilevel"/>
    <w:tmpl w:val="0E3A489A"/>
    <w:lvl w:ilvl="0" w:tplc="A5B80D9E">
      <w:start w:val="1"/>
      <w:numFmt w:val="decimal"/>
      <w:lvlText w:val="(%1)"/>
      <w:lvlJc w:val="left"/>
      <w:pPr>
        <w:ind w:left="927" w:hanging="360"/>
      </w:pPr>
      <w:rPr>
        <w:rFonts w:ascii="Times New Roman" w:eastAsiaTheme="minorHAnsi" w:hAnsi="Times New Roman" w:cs="Times New Roman"/>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4" w15:restartNumberingAfterBreak="0">
    <w:nsid w:val="74C44308"/>
    <w:multiLevelType w:val="hybridMultilevel"/>
    <w:tmpl w:val="E0C0E9D4"/>
    <w:lvl w:ilvl="0" w:tplc="0186BD8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A851985"/>
    <w:multiLevelType w:val="hybridMultilevel"/>
    <w:tmpl w:val="9FCE4B04"/>
    <w:lvl w:ilvl="0" w:tplc="026C3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1"/>
  </w:num>
  <w:num w:numId="2">
    <w:abstractNumId w:val="19"/>
  </w:num>
  <w:num w:numId="3">
    <w:abstractNumId w:val="7"/>
  </w:num>
  <w:num w:numId="4">
    <w:abstractNumId w:val="2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6"/>
  </w:num>
  <w:num w:numId="8">
    <w:abstractNumId w:val="28"/>
  </w:num>
  <w:num w:numId="9">
    <w:abstractNumId w:val="12"/>
  </w:num>
  <w:num w:numId="10">
    <w:abstractNumId w:val="11"/>
  </w:num>
  <w:num w:numId="11">
    <w:abstractNumId w:val="14"/>
  </w:num>
  <w:num w:numId="12">
    <w:abstractNumId w:val="6"/>
  </w:num>
  <w:num w:numId="13">
    <w:abstractNumId w:val="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15"/>
  </w:num>
  <w:num w:numId="19">
    <w:abstractNumId w:val="13"/>
  </w:num>
  <w:num w:numId="20">
    <w:abstractNumId w:val="0"/>
  </w:num>
  <w:num w:numId="21">
    <w:abstractNumId w:val="8"/>
  </w:num>
  <w:num w:numId="22">
    <w:abstractNumId w:val="2"/>
  </w:num>
  <w:num w:numId="23">
    <w:abstractNumId w:val="26"/>
  </w:num>
  <w:num w:numId="24">
    <w:abstractNumId w:val="25"/>
  </w:num>
  <w:num w:numId="25">
    <w:abstractNumId w:val="1"/>
  </w:num>
  <w:num w:numId="26">
    <w:abstractNumId w:val="4"/>
  </w:num>
  <w:num w:numId="27">
    <w:abstractNumId w:val="27"/>
  </w:num>
  <w:num w:numId="28">
    <w:abstractNumId w:val="23"/>
  </w:num>
  <w:num w:numId="29">
    <w:abstractNumId w:val="24"/>
  </w:num>
  <w:num w:numId="3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BD5"/>
    <w:rsid w:val="00006E40"/>
    <w:rsid w:val="00010C95"/>
    <w:rsid w:val="00011837"/>
    <w:rsid w:val="000118B5"/>
    <w:rsid w:val="00016071"/>
    <w:rsid w:val="000168EC"/>
    <w:rsid w:val="00020BCB"/>
    <w:rsid w:val="000222BC"/>
    <w:rsid w:val="00022742"/>
    <w:rsid w:val="0002508A"/>
    <w:rsid w:val="00031681"/>
    <w:rsid w:val="00032421"/>
    <w:rsid w:val="00033E1E"/>
    <w:rsid w:val="00034039"/>
    <w:rsid w:val="00035FFD"/>
    <w:rsid w:val="00041F6D"/>
    <w:rsid w:val="00042DBA"/>
    <w:rsid w:val="000443F0"/>
    <w:rsid w:val="00044523"/>
    <w:rsid w:val="00046A42"/>
    <w:rsid w:val="0006161B"/>
    <w:rsid w:val="00063040"/>
    <w:rsid w:val="00063956"/>
    <w:rsid w:val="000653D4"/>
    <w:rsid w:val="00066DE6"/>
    <w:rsid w:val="00067E8F"/>
    <w:rsid w:val="00070212"/>
    <w:rsid w:val="000705BF"/>
    <w:rsid w:val="000808F5"/>
    <w:rsid w:val="00084D8F"/>
    <w:rsid w:val="00086C52"/>
    <w:rsid w:val="0009139D"/>
    <w:rsid w:val="000A1652"/>
    <w:rsid w:val="000A222C"/>
    <w:rsid w:val="000A2CC8"/>
    <w:rsid w:val="000A665E"/>
    <w:rsid w:val="000A6EFB"/>
    <w:rsid w:val="000B06C6"/>
    <w:rsid w:val="000B32DC"/>
    <w:rsid w:val="000B3701"/>
    <w:rsid w:val="000B4D5B"/>
    <w:rsid w:val="000B4DB4"/>
    <w:rsid w:val="000B5C2D"/>
    <w:rsid w:val="000C118B"/>
    <w:rsid w:val="000C2AFC"/>
    <w:rsid w:val="000C467A"/>
    <w:rsid w:val="000C4BA0"/>
    <w:rsid w:val="000C511F"/>
    <w:rsid w:val="000C6E2E"/>
    <w:rsid w:val="000D2364"/>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0407"/>
    <w:rsid w:val="00132355"/>
    <w:rsid w:val="00133C7E"/>
    <w:rsid w:val="001347D2"/>
    <w:rsid w:val="00136167"/>
    <w:rsid w:val="00136342"/>
    <w:rsid w:val="00141BD1"/>
    <w:rsid w:val="001431A6"/>
    <w:rsid w:val="001464D0"/>
    <w:rsid w:val="00150781"/>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6F3E"/>
    <w:rsid w:val="0019771E"/>
    <w:rsid w:val="001B2ABE"/>
    <w:rsid w:val="001B2B6E"/>
    <w:rsid w:val="001B6AA4"/>
    <w:rsid w:val="001C1C51"/>
    <w:rsid w:val="001C1F56"/>
    <w:rsid w:val="001C2335"/>
    <w:rsid w:val="001C4112"/>
    <w:rsid w:val="001C4B98"/>
    <w:rsid w:val="001C4E98"/>
    <w:rsid w:val="001C7A57"/>
    <w:rsid w:val="001D2E67"/>
    <w:rsid w:val="001D395F"/>
    <w:rsid w:val="001D682C"/>
    <w:rsid w:val="001E4B29"/>
    <w:rsid w:val="001E5059"/>
    <w:rsid w:val="001F0AF0"/>
    <w:rsid w:val="001F367D"/>
    <w:rsid w:val="001F440B"/>
    <w:rsid w:val="001F449E"/>
    <w:rsid w:val="001F6770"/>
    <w:rsid w:val="0020225B"/>
    <w:rsid w:val="00213431"/>
    <w:rsid w:val="00215083"/>
    <w:rsid w:val="002168B2"/>
    <w:rsid w:val="002208F4"/>
    <w:rsid w:val="002217B1"/>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E30BA"/>
    <w:rsid w:val="002E4427"/>
    <w:rsid w:val="002E5B10"/>
    <w:rsid w:val="002E7670"/>
    <w:rsid w:val="002F394F"/>
    <w:rsid w:val="002F5273"/>
    <w:rsid w:val="002F7031"/>
    <w:rsid w:val="00301D62"/>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5CA"/>
    <w:rsid w:val="00331F7E"/>
    <w:rsid w:val="00333192"/>
    <w:rsid w:val="00336F24"/>
    <w:rsid w:val="00343133"/>
    <w:rsid w:val="003548F2"/>
    <w:rsid w:val="003727AB"/>
    <w:rsid w:val="00376F7A"/>
    <w:rsid w:val="003823F8"/>
    <w:rsid w:val="00390343"/>
    <w:rsid w:val="003941FA"/>
    <w:rsid w:val="00395053"/>
    <w:rsid w:val="003A0986"/>
    <w:rsid w:val="003A39A6"/>
    <w:rsid w:val="003A7157"/>
    <w:rsid w:val="003B1318"/>
    <w:rsid w:val="003B2E4E"/>
    <w:rsid w:val="003B3279"/>
    <w:rsid w:val="003B3625"/>
    <w:rsid w:val="003C207A"/>
    <w:rsid w:val="003C4E88"/>
    <w:rsid w:val="003D593A"/>
    <w:rsid w:val="003D6FE1"/>
    <w:rsid w:val="003D74AA"/>
    <w:rsid w:val="003D7DE7"/>
    <w:rsid w:val="003E3787"/>
    <w:rsid w:val="003E66C9"/>
    <w:rsid w:val="003E6AD8"/>
    <w:rsid w:val="003F0202"/>
    <w:rsid w:val="003F3D71"/>
    <w:rsid w:val="003F5CC6"/>
    <w:rsid w:val="003F6E4E"/>
    <w:rsid w:val="003F75FD"/>
    <w:rsid w:val="00400DF5"/>
    <w:rsid w:val="004017CC"/>
    <w:rsid w:val="00401975"/>
    <w:rsid w:val="00401CA4"/>
    <w:rsid w:val="00402C68"/>
    <w:rsid w:val="004033EF"/>
    <w:rsid w:val="00403CC1"/>
    <w:rsid w:val="00404B76"/>
    <w:rsid w:val="004062AC"/>
    <w:rsid w:val="00411426"/>
    <w:rsid w:val="0041297C"/>
    <w:rsid w:val="00414F18"/>
    <w:rsid w:val="004168E8"/>
    <w:rsid w:val="0041744B"/>
    <w:rsid w:val="00424CAD"/>
    <w:rsid w:val="00424EC3"/>
    <w:rsid w:val="00427994"/>
    <w:rsid w:val="0043196D"/>
    <w:rsid w:val="00432083"/>
    <w:rsid w:val="0043487D"/>
    <w:rsid w:val="00434C41"/>
    <w:rsid w:val="00441491"/>
    <w:rsid w:val="004435A1"/>
    <w:rsid w:val="0044493E"/>
    <w:rsid w:val="004465FE"/>
    <w:rsid w:val="00447879"/>
    <w:rsid w:val="00454B3A"/>
    <w:rsid w:val="00455451"/>
    <w:rsid w:val="00460740"/>
    <w:rsid w:val="004609A7"/>
    <w:rsid w:val="00462785"/>
    <w:rsid w:val="0046359E"/>
    <w:rsid w:val="00463CFB"/>
    <w:rsid w:val="004673E4"/>
    <w:rsid w:val="00467D4C"/>
    <w:rsid w:val="004731CB"/>
    <w:rsid w:val="004747A8"/>
    <w:rsid w:val="00486F8C"/>
    <w:rsid w:val="00490B93"/>
    <w:rsid w:val="004944E6"/>
    <w:rsid w:val="004951D7"/>
    <w:rsid w:val="00496A4D"/>
    <w:rsid w:val="004A083E"/>
    <w:rsid w:val="004A7157"/>
    <w:rsid w:val="004B4647"/>
    <w:rsid w:val="004B6474"/>
    <w:rsid w:val="004C050B"/>
    <w:rsid w:val="004C1489"/>
    <w:rsid w:val="004C1DE0"/>
    <w:rsid w:val="004C3C40"/>
    <w:rsid w:val="004C76E0"/>
    <w:rsid w:val="004D01E7"/>
    <w:rsid w:val="004D09D8"/>
    <w:rsid w:val="004D4F48"/>
    <w:rsid w:val="004D7AB2"/>
    <w:rsid w:val="004D7AC5"/>
    <w:rsid w:val="004E35E2"/>
    <w:rsid w:val="004E4CD1"/>
    <w:rsid w:val="004E5001"/>
    <w:rsid w:val="004F0411"/>
    <w:rsid w:val="004F69C2"/>
    <w:rsid w:val="00502744"/>
    <w:rsid w:val="005027A9"/>
    <w:rsid w:val="00503591"/>
    <w:rsid w:val="00505238"/>
    <w:rsid w:val="005123D7"/>
    <w:rsid w:val="005132FA"/>
    <w:rsid w:val="00514268"/>
    <w:rsid w:val="00515458"/>
    <w:rsid w:val="00520407"/>
    <w:rsid w:val="005215DC"/>
    <w:rsid w:val="00524AB4"/>
    <w:rsid w:val="005262F1"/>
    <w:rsid w:val="00526464"/>
    <w:rsid w:val="00526FD1"/>
    <w:rsid w:val="005322B0"/>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61DDE"/>
    <w:rsid w:val="005636EA"/>
    <w:rsid w:val="00574526"/>
    <w:rsid w:val="0057543E"/>
    <w:rsid w:val="0058109A"/>
    <w:rsid w:val="00582195"/>
    <w:rsid w:val="00582197"/>
    <w:rsid w:val="0058608B"/>
    <w:rsid w:val="005863F2"/>
    <w:rsid w:val="005960D1"/>
    <w:rsid w:val="005A0935"/>
    <w:rsid w:val="005A31E8"/>
    <w:rsid w:val="005A3EDC"/>
    <w:rsid w:val="005A533D"/>
    <w:rsid w:val="005B075C"/>
    <w:rsid w:val="005B27A8"/>
    <w:rsid w:val="005B48F3"/>
    <w:rsid w:val="005B5188"/>
    <w:rsid w:val="005C6C3F"/>
    <w:rsid w:val="005D0604"/>
    <w:rsid w:val="005E510A"/>
    <w:rsid w:val="005F1FC6"/>
    <w:rsid w:val="005F3771"/>
    <w:rsid w:val="005F709B"/>
    <w:rsid w:val="006009A2"/>
    <w:rsid w:val="0060142D"/>
    <w:rsid w:val="00603E9C"/>
    <w:rsid w:val="00607B32"/>
    <w:rsid w:val="006110CB"/>
    <w:rsid w:val="0061228C"/>
    <w:rsid w:val="0061335A"/>
    <w:rsid w:val="006154AD"/>
    <w:rsid w:val="00617101"/>
    <w:rsid w:val="006231FF"/>
    <w:rsid w:val="006271F3"/>
    <w:rsid w:val="0063081F"/>
    <w:rsid w:val="00636D7A"/>
    <w:rsid w:val="006436A3"/>
    <w:rsid w:val="006439FE"/>
    <w:rsid w:val="00646A7E"/>
    <w:rsid w:val="0065589B"/>
    <w:rsid w:val="006615E2"/>
    <w:rsid w:val="006704DA"/>
    <w:rsid w:val="00670502"/>
    <w:rsid w:val="00671841"/>
    <w:rsid w:val="006731FB"/>
    <w:rsid w:val="00673C11"/>
    <w:rsid w:val="0067407C"/>
    <w:rsid w:val="00683EA7"/>
    <w:rsid w:val="006849BD"/>
    <w:rsid w:val="00684A7D"/>
    <w:rsid w:val="00685A23"/>
    <w:rsid w:val="006863D2"/>
    <w:rsid w:val="00686A4D"/>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3251"/>
    <w:rsid w:val="006E3F84"/>
    <w:rsid w:val="006E4EBD"/>
    <w:rsid w:val="006E4F2C"/>
    <w:rsid w:val="006E5013"/>
    <w:rsid w:val="006E575A"/>
    <w:rsid w:val="006F00FE"/>
    <w:rsid w:val="006F2C75"/>
    <w:rsid w:val="006F3662"/>
    <w:rsid w:val="006F5A61"/>
    <w:rsid w:val="00713A11"/>
    <w:rsid w:val="007174D0"/>
    <w:rsid w:val="00723BD4"/>
    <w:rsid w:val="0073077C"/>
    <w:rsid w:val="007339F6"/>
    <w:rsid w:val="007359E1"/>
    <w:rsid w:val="00736721"/>
    <w:rsid w:val="0074161C"/>
    <w:rsid w:val="00743275"/>
    <w:rsid w:val="007456B9"/>
    <w:rsid w:val="007458D0"/>
    <w:rsid w:val="00747B0D"/>
    <w:rsid w:val="007500C4"/>
    <w:rsid w:val="0075038D"/>
    <w:rsid w:val="00750DC6"/>
    <w:rsid w:val="00754E88"/>
    <w:rsid w:val="00755544"/>
    <w:rsid w:val="007626DF"/>
    <w:rsid w:val="00762BD5"/>
    <w:rsid w:val="00762E26"/>
    <w:rsid w:val="007631FA"/>
    <w:rsid w:val="007635C9"/>
    <w:rsid w:val="00764D59"/>
    <w:rsid w:val="0077056E"/>
    <w:rsid w:val="007706A0"/>
    <w:rsid w:val="00774CE5"/>
    <w:rsid w:val="0077748E"/>
    <w:rsid w:val="00791557"/>
    <w:rsid w:val="00792339"/>
    <w:rsid w:val="007929A2"/>
    <w:rsid w:val="00794418"/>
    <w:rsid w:val="00795CD7"/>
    <w:rsid w:val="007A0CF0"/>
    <w:rsid w:val="007A1306"/>
    <w:rsid w:val="007A2ABA"/>
    <w:rsid w:val="007A432B"/>
    <w:rsid w:val="007A5554"/>
    <w:rsid w:val="007A57A8"/>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731B"/>
    <w:rsid w:val="007E54B7"/>
    <w:rsid w:val="007E694B"/>
    <w:rsid w:val="007E6A52"/>
    <w:rsid w:val="007F34E2"/>
    <w:rsid w:val="00802585"/>
    <w:rsid w:val="008061BD"/>
    <w:rsid w:val="00811992"/>
    <w:rsid w:val="008133ED"/>
    <w:rsid w:val="008145D0"/>
    <w:rsid w:val="00815596"/>
    <w:rsid w:val="0081580A"/>
    <w:rsid w:val="00817F5A"/>
    <w:rsid w:val="008206F2"/>
    <w:rsid w:val="00822D03"/>
    <w:rsid w:val="00823CE8"/>
    <w:rsid w:val="00825165"/>
    <w:rsid w:val="008252CB"/>
    <w:rsid w:val="00831B6A"/>
    <w:rsid w:val="008320E7"/>
    <w:rsid w:val="00833744"/>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4B4B"/>
    <w:rsid w:val="00896CCC"/>
    <w:rsid w:val="008971BF"/>
    <w:rsid w:val="0089721C"/>
    <w:rsid w:val="008A381D"/>
    <w:rsid w:val="008A39DA"/>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76F5"/>
    <w:rsid w:val="009029D7"/>
    <w:rsid w:val="009161F5"/>
    <w:rsid w:val="0091698C"/>
    <w:rsid w:val="009178F0"/>
    <w:rsid w:val="00920CEF"/>
    <w:rsid w:val="00924674"/>
    <w:rsid w:val="00925109"/>
    <w:rsid w:val="00925C1D"/>
    <w:rsid w:val="00926F0E"/>
    <w:rsid w:val="0092711F"/>
    <w:rsid w:val="0092760E"/>
    <w:rsid w:val="00927F92"/>
    <w:rsid w:val="00931F6B"/>
    <w:rsid w:val="00933BC7"/>
    <w:rsid w:val="009359EF"/>
    <w:rsid w:val="00936DF1"/>
    <w:rsid w:val="009403BF"/>
    <w:rsid w:val="00941D98"/>
    <w:rsid w:val="0094344C"/>
    <w:rsid w:val="009438E0"/>
    <w:rsid w:val="009444C2"/>
    <w:rsid w:val="009446D0"/>
    <w:rsid w:val="009460BB"/>
    <w:rsid w:val="0095202E"/>
    <w:rsid w:val="00954E79"/>
    <w:rsid w:val="00956BB3"/>
    <w:rsid w:val="00960345"/>
    <w:rsid w:val="009603E3"/>
    <w:rsid w:val="00960CF5"/>
    <w:rsid w:val="009635A1"/>
    <w:rsid w:val="0096481A"/>
    <w:rsid w:val="009679F2"/>
    <w:rsid w:val="00970CD2"/>
    <w:rsid w:val="00973D78"/>
    <w:rsid w:val="00974589"/>
    <w:rsid w:val="009804ED"/>
    <w:rsid w:val="009807A4"/>
    <w:rsid w:val="00980924"/>
    <w:rsid w:val="00980A7A"/>
    <w:rsid w:val="00981C2C"/>
    <w:rsid w:val="00981E93"/>
    <w:rsid w:val="00992629"/>
    <w:rsid w:val="00992EA7"/>
    <w:rsid w:val="009A16A7"/>
    <w:rsid w:val="009A5A28"/>
    <w:rsid w:val="009A7065"/>
    <w:rsid w:val="009B1713"/>
    <w:rsid w:val="009C4B0E"/>
    <w:rsid w:val="009C4C5F"/>
    <w:rsid w:val="009D6A95"/>
    <w:rsid w:val="009F0BA2"/>
    <w:rsid w:val="009F1A4F"/>
    <w:rsid w:val="009F3BBB"/>
    <w:rsid w:val="009F515E"/>
    <w:rsid w:val="009F6611"/>
    <w:rsid w:val="00A0190C"/>
    <w:rsid w:val="00A05303"/>
    <w:rsid w:val="00A05A3C"/>
    <w:rsid w:val="00A05E7B"/>
    <w:rsid w:val="00A06C81"/>
    <w:rsid w:val="00A11FF1"/>
    <w:rsid w:val="00A12C0C"/>
    <w:rsid w:val="00A1439C"/>
    <w:rsid w:val="00A14ACD"/>
    <w:rsid w:val="00A175E9"/>
    <w:rsid w:val="00A17F33"/>
    <w:rsid w:val="00A24C16"/>
    <w:rsid w:val="00A3203B"/>
    <w:rsid w:val="00A3474A"/>
    <w:rsid w:val="00A357C1"/>
    <w:rsid w:val="00A367AC"/>
    <w:rsid w:val="00A44668"/>
    <w:rsid w:val="00A44F2D"/>
    <w:rsid w:val="00A60FA5"/>
    <w:rsid w:val="00A64D81"/>
    <w:rsid w:val="00A6698C"/>
    <w:rsid w:val="00A66D6C"/>
    <w:rsid w:val="00A7324C"/>
    <w:rsid w:val="00A815F9"/>
    <w:rsid w:val="00A85BB0"/>
    <w:rsid w:val="00A874FE"/>
    <w:rsid w:val="00A909AF"/>
    <w:rsid w:val="00A961B8"/>
    <w:rsid w:val="00A96B64"/>
    <w:rsid w:val="00AA3582"/>
    <w:rsid w:val="00AA491B"/>
    <w:rsid w:val="00AA5771"/>
    <w:rsid w:val="00AA6026"/>
    <w:rsid w:val="00AA686E"/>
    <w:rsid w:val="00AB06B3"/>
    <w:rsid w:val="00AB1514"/>
    <w:rsid w:val="00AB4815"/>
    <w:rsid w:val="00AB5FC4"/>
    <w:rsid w:val="00AB63B3"/>
    <w:rsid w:val="00AC6451"/>
    <w:rsid w:val="00AD0310"/>
    <w:rsid w:val="00AD0540"/>
    <w:rsid w:val="00AD07F5"/>
    <w:rsid w:val="00AD2A05"/>
    <w:rsid w:val="00AD2D53"/>
    <w:rsid w:val="00AD3784"/>
    <w:rsid w:val="00AD5E92"/>
    <w:rsid w:val="00AD6A0D"/>
    <w:rsid w:val="00AE023A"/>
    <w:rsid w:val="00AE05B5"/>
    <w:rsid w:val="00AF09A9"/>
    <w:rsid w:val="00AF3A32"/>
    <w:rsid w:val="00AF3A9C"/>
    <w:rsid w:val="00B0047B"/>
    <w:rsid w:val="00B02EE2"/>
    <w:rsid w:val="00B0415A"/>
    <w:rsid w:val="00B07D3E"/>
    <w:rsid w:val="00B132BA"/>
    <w:rsid w:val="00B173BC"/>
    <w:rsid w:val="00B17670"/>
    <w:rsid w:val="00B223AE"/>
    <w:rsid w:val="00B2454E"/>
    <w:rsid w:val="00B24A73"/>
    <w:rsid w:val="00B32111"/>
    <w:rsid w:val="00B33932"/>
    <w:rsid w:val="00B345E8"/>
    <w:rsid w:val="00B371CA"/>
    <w:rsid w:val="00B45EAA"/>
    <w:rsid w:val="00B46515"/>
    <w:rsid w:val="00B470D0"/>
    <w:rsid w:val="00B53FF9"/>
    <w:rsid w:val="00B5435F"/>
    <w:rsid w:val="00B5519D"/>
    <w:rsid w:val="00B56085"/>
    <w:rsid w:val="00B61C21"/>
    <w:rsid w:val="00B66045"/>
    <w:rsid w:val="00B66CB7"/>
    <w:rsid w:val="00B755C3"/>
    <w:rsid w:val="00B756F7"/>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3E27"/>
    <w:rsid w:val="00BB4F88"/>
    <w:rsid w:val="00BB6DA4"/>
    <w:rsid w:val="00BB77FC"/>
    <w:rsid w:val="00BC398F"/>
    <w:rsid w:val="00BC3D29"/>
    <w:rsid w:val="00BC52F1"/>
    <w:rsid w:val="00BC6516"/>
    <w:rsid w:val="00BD2279"/>
    <w:rsid w:val="00BD33C9"/>
    <w:rsid w:val="00BD5E43"/>
    <w:rsid w:val="00BD6F71"/>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75DB"/>
    <w:rsid w:val="00C5391F"/>
    <w:rsid w:val="00C54199"/>
    <w:rsid w:val="00C541A4"/>
    <w:rsid w:val="00C61747"/>
    <w:rsid w:val="00C754AB"/>
    <w:rsid w:val="00C765B9"/>
    <w:rsid w:val="00C77649"/>
    <w:rsid w:val="00C841AD"/>
    <w:rsid w:val="00C86F7C"/>
    <w:rsid w:val="00C9267F"/>
    <w:rsid w:val="00C95CE2"/>
    <w:rsid w:val="00C978C1"/>
    <w:rsid w:val="00CA0F73"/>
    <w:rsid w:val="00CA2D4B"/>
    <w:rsid w:val="00CA34C1"/>
    <w:rsid w:val="00CA4E7A"/>
    <w:rsid w:val="00CB2E50"/>
    <w:rsid w:val="00CB4B13"/>
    <w:rsid w:val="00CC184E"/>
    <w:rsid w:val="00CC2619"/>
    <w:rsid w:val="00CD341B"/>
    <w:rsid w:val="00CD74C7"/>
    <w:rsid w:val="00CD775E"/>
    <w:rsid w:val="00CE0DFB"/>
    <w:rsid w:val="00CE3597"/>
    <w:rsid w:val="00CE4591"/>
    <w:rsid w:val="00CE5275"/>
    <w:rsid w:val="00CE5F7A"/>
    <w:rsid w:val="00CF1C1B"/>
    <w:rsid w:val="00CF2E58"/>
    <w:rsid w:val="00CF383C"/>
    <w:rsid w:val="00CF58C7"/>
    <w:rsid w:val="00CF5D04"/>
    <w:rsid w:val="00D00D1D"/>
    <w:rsid w:val="00D016B1"/>
    <w:rsid w:val="00D055A5"/>
    <w:rsid w:val="00D07508"/>
    <w:rsid w:val="00D100E5"/>
    <w:rsid w:val="00D124C2"/>
    <w:rsid w:val="00D13A60"/>
    <w:rsid w:val="00D21B93"/>
    <w:rsid w:val="00D2295F"/>
    <w:rsid w:val="00D22EB4"/>
    <w:rsid w:val="00D24CDF"/>
    <w:rsid w:val="00D25335"/>
    <w:rsid w:val="00D253ED"/>
    <w:rsid w:val="00D3130C"/>
    <w:rsid w:val="00D3469F"/>
    <w:rsid w:val="00D36206"/>
    <w:rsid w:val="00D3646D"/>
    <w:rsid w:val="00D36821"/>
    <w:rsid w:val="00D451F5"/>
    <w:rsid w:val="00D5334D"/>
    <w:rsid w:val="00D56FF2"/>
    <w:rsid w:val="00D60EED"/>
    <w:rsid w:val="00D62958"/>
    <w:rsid w:val="00D641E7"/>
    <w:rsid w:val="00D65734"/>
    <w:rsid w:val="00D70661"/>
    <w:rsid w:val="00D7651F"/>
    <w:rsid w:val="00D81F9E"/>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E0810"/>
    <w:rsid w:val="00DE5449"/>
    <w:rsid w:val="00DF05B1"/>
    <w:rsid w:val="00E01281"/>
    <w:rsid w:val="00E01C05"/>
    <w:rsid w:val="00E025D1"/>
    <w:rsid w:val="00E12B3A"/>
    <w:rsid w:val="00E16A90"/>
    <w:rsid w:val="00E17F24"/>
    <w:rsid w:val="00E2076C"/>
    <w:rsid w:val="00E209E1"/>
    <w:rsid w:val="00E224AD"/>
    <w:rsid w:val="00E22FAE"/>
    <w:rsid w:val="00E25D64"/>
    <w:rsid w:val="00E25FC3"/>
    <w:rsid w:val="00E327F7"/>
    <w:rsid w:val="00E33162"/>
    <w:rsid w:val="00E34201"/>
    <w:rsid w:val="00E41DD8"/>
    <w:rsid w:val="00E51381"/>
    <w:rsid w:val="00E51938"/>
    <w:rsid w:val="00E54A21"/>
    <w:rsid w:val="00E55D2C"/>
    <w:rsid w:val="00E628E2"/>
    <w:rsid w:val="00E6392D"/>
    <w:rsid w:val="00E67C23"/>
    <w:rsid w:val="00E717F8"/>
    <w:rsid w:val="00E73E69"/>
    <w:rsid w:val="00E80693"/>
    <w:rsid w:val="00E81806"/>
    <w:rsid w:val="00E83997"/>
    <w:rsid w:val="00E84775"/>
    <w:rsid w:val="00E87A8F"/>
    <w:rsid w:val="00E9319A"/>
    <w:rsid w:val="00E96B49"/>
    <w:rsid w:val="00E9758E"/>
    <w:rsid w:val="00EA10F8"/>
    <w:rsid w:val="00EA2E10"/>
    <w:rsid w:val="00EA4306"/>
    <w:rsid w:val="00EA54B1"/>
    <w:rsid w:val="00EA635E"/>
    <w:rsid w:val="00EA6DA3"/>
    <w:rsid w:val="00EB0ADE"/>
    <w:rsid w:val="00EB34AD"/>
    <w:rsid w:val="00EB36ED"/>
    <w:rsid w:val="00EB3FAA"/>
    <w:rsid w:val="00EB58A4"/>
    <w:rsid w:val="00EC2E98"/>
    <w:rsid w:val="00EC6E7B"/>
    <w:rsid w:val="00ED3B76"/>
    <w:rsid w:val="00ED46D1"/>
    <w:rsid w:val="00EE05E8"/>
    <w:rsid w:val="00EE0A8F"/>
    <w:rsid w:val="00EE53CD"/>
    <w:rsid w:val="00EF3CA9"/>
    <w:rsid w:val="00EF7108"/>
    <w:rsid w:val="00EF7874"/>
    <w:rsid w:val="00F01A5E"/>
    <w:rsid w:val="00F03CAD"/>
    <w:rsid w:val="00F05E22"/>
    <w:rsid w:val="00F07374"/>
    <w:rsid w:val="00F077D9"/>
    <w:rsid w:val="00F12EF4"/>
    <w:rsid w:val="00F15B22"/>
    <w:rsid w:val="00F16356"/>
    <w:rsid w:val="00F1755B"/>
    <w:rsid w:val="00F17E15"/>
    <w:rsid w:val="00F20C63"/>
    <w:rsid w:val="00F274E4"/>
    <w:rsid w:val="00F275F4"/>
    <w:rsid w:val="00F27907"/>
    <w:rsid w:val="00F30465"/>
    <w:rsid w:val="00F3132A"/>
    <w:rsid w:val="00F36616"/>
    <w:rsid w:val="00F3782D"/>
    <w:rsid w:val="00F4207C"/>
    <w:rsid w:val="00F432BC"/>
    <w:rsid w:val="00F43449"/>
    <w:rsid w:val="00F43959"/>
    <w:rsid w:val="00F523C2"/>
    <w:rsid w:val="00F54668"/>
    <w:rsid w:val="00F54AC9"/>
    <w:rsid w:val="00F5736A"/>
    <w:rsid w:val="00F66C70"/>
    <w:rsid w:val="00F67651"/>
    <w:rsid w:val="00F769D9"/>
    <w:rsid w:val="00F838A3"/>
    <w:rsid w:val="00F85034"/>
    <w:rsid w:val="00F9573B"/>
    <w:rsid w:val="00F9695D"/>
    <w:rsid w:val="00F96D76"/>
    <w:rsid w:val="00F96E8F"/>
    <w:rsid w:val="00FA1A1B"/>
    <w:rsid w:val="00FA5457"/>
    <w:rsid w:val="00FA5545"/>
    <w:rsid w:val="00FA5EBE"/>
    <w:rsid w:val="00FB3664"/>
    <w:rsid w:val="00FB43D2"/>
    <w:rsid w:val="00FB75F5"/>
    <w:rsid w:val="00FC371D"/>
    <w:rsid w:val="00FC484C"/>
    <w:rsid w:val="00FC4F01"/>
    <w:rsid w:val="00FD14C5"/>
    <w:rsid w:val="00FD3C4B"/>
    <w:rsid w:val="00FD501E"/>
    <w:rsid w:val="00FD7D12"/>
    <w:rsid w:val="00FE36EE"/>
    <w:rsid w:val="00FE5FD8"/>
    <w:rsid w:val="00FF0F54"/>
    <w:rsid w:val="00FF26F2"/>
    <w:rsid w:val="00FF4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272175-D4E3-42F7-9B0A-E6423A46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109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1094" TargetMode="External"/><Relationship Id="rId17" Type="http://schemas.openxmlformats.org/officeDocument/2006/relationships/hyperlink" Target="https://www.zakon.hr/cms.htm?id=35493" TargetMode="External"/><Relationship Id="rId2" Type="http://schemas.openxmlformats.org/officeDocument/2006/relationships/numbering" Target="numbering.xml"/><Relationship Id="rId16" Type="http://schemas.openxmlformats.org/officeDocument/2006/relationships/hyperlink" Target="https://www.zakon.hr/cms.htm?id=354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zakon.hr/cms.htm?id=35923"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cms.htm?id=17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58A0-C2B6-4B90-9ECD-87BBDA73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1445</Words>
  <Characters>8238</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Tuschl</dc:creator>
  <cp:lastModifiedBy>Maja Lebarović</cp:lastModifiedBy>
  <cp:revision>3</cp:revision>
  <cp:lastPrinted>2022-07-03T19:14:00Z</cp:lastPrinted>
  <dcterms:created xsi:type="dcterms:W3CDTF">2022-07-04T08:40:00Z</dcterms:created>
  <dcterms:modified xsi:type="dcterms:W3CDTF">2022-07-04T08:46:00Z</dcterms:modified>
</cp:coreProperties>
</file>